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A9728" w14:textId="3427A762" w:rsidR="00FF28B9" w:rsidRDefault="00371152">
      <w:pPr>
        <w:pStyle w:val="Default"/>
        <w:jc w:val="right"/>
      </w:pPr>
      <w:r>
        <w:rPr>
          <w:noProof/>
        </w:rPr>
        <w:drawing>
          <wp:anchor distT="0" distB="0" distL="0" distR="0" simplePos="0" relativeHeight="6" behindDoc="1" locked="0" layoutInCell="0" allowOverlap="1" wp14:anchorId="7A4CD58A" wp14:editId="3DB4E827">
            <wp:simplePos x="0" y="0"/>
            <wp:positionH relativeFrom="page">
              <wp:align>left</wp:align>
            </wp:positionH>
            <wp:positionV relativeFrom="page">
              <wp:posOffset>-195580</wp:posOffset>
            </wp:positionV>
            <wp:extent cx="7559040" cy="11033760"/>
            <wp:effectExtent l="0" t="0" r="3810" b="0"/>
            <wp:wrapNone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9C1">
        <w:t xml:space="preserve">Informacja prasowa                                                                                                                  </w:t>
      </w:r>
    </w:p>
    <w:p w14:paraId="4545ADD3" w14:textId="74567732" w:rsidR="00FF28B9" w:rsidRPr="008954A2" w:rsidRDefault="003E79C1">
      <w:pPr>
        <w:tabs>
          <w:tab w:val="left" w:pos="4253"/>
        </w:tabs>
        <w:spacing w:before="100"/>
        <w:jc w:val="right"/>
        <w:rPr>
          <w:rFonts w:ascii="Calibri" w:eastAsia="Times New Roman" w:hAnsi="Calibri" w:cs="Calibri"/>
          <w:color w:val="000000"/>
          <w:kern w:val="0"/>
          <w:lang w:eastAsia="pl-PL" w:bidi="ar-SA"/>
        </w:rPr>
      </w:pPr>
      <w:r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 xml:space="preserve">Warszawa, </w:t>
      </w:r>
      <w:r w:rsidR="0099043C"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>2</w:t>
      </w:r>
      <w:r w:rsidR="00371152"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>3</w:t>
      </w:r>
      <w:r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 xml:space="preserve"> </w:t>
      </w:r>
      <w:r w:rsidR="00917E16"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>września</w:t>
      </w:r>
      <w:r w:rsidRPr="008954A2">
        <w:rPr>
          <w:rFonts w:ascii="Calibri" w:eastAsia="Times New Roman" w:hAnsi="Calibri" w:cs="Calibri"/>
          <w:color w:val="000000"/>
          <w:kern w:val="0"/>
          <w:lang w:eastAsia="pl-PL" w:bidi="ar-SA"/>
        </w:rPr>
        <w:t xml:space="preserve"> 2024 r.</w:t>
      </w:r>
    </w:p>
    <w:p w14:paraId="1D2A5EC2" w14:textId="77777777" w:rsidR="00FF28B9" w:rsidRDefault="00FF28B9">
      <w:pPr>
        <w:pStyle w:val="Default"/>
        <w:rPr>
          <w:sz w:val="28"/>
          <w:szCs w:val="28"/>
        </w:rPr>
      </w:pPr>
    </w:p>
    <w:p w14:paraId="7D81E98D" w14:textId="77777777" w:rsidR="00FF28B9" w:rsidRDefault="00FF28B9">
      <w:pPr>
        <w:pStyle w:val="Default"/>
        <w:rPr>
          <w:sz w:val="28"/>
          <w:szCs w:val="28"/>
        </w:rPr>
      </w:pPr>
    </w:p>
    <w:p w14:paraId="7BE9C573" w14:textId="471CD39D" w:rsidR="00FF28B9" w:rsidRDefault="003D37E5">
      <w:pPr>
        <w:pStyle w:val="Default"/>
        <w:jc w:val="center"/>
        <w:rPr>
          <w:b/>
          <w:bCs/>
          <w:color w:val="8EAADB"/>
        </w:rPr>
      </w:pPr>
      <w:r>
        <w:rPr>
          <w:b/>
          <w:bCs/>
          <w:color w:val="8EAADB"/>
        </w:rPr>
        <w:t>Znamy</w:t>
      </w:r>
      <w:r w:rsidR="0026637D">
        <w:rPr>
          <w:b/>
          <w:bCs/>
          <w:color w:val="8EAADB"/>
        </w:rPr>
        <w:t xml:space="preserve"> wyniki trzeciej edycji Indeksu Zdrowych Miast</w:t>
      </w:r>
      <w:r>
        <w:rPr>
          <w:b/>
          <w:bCs/>
          <w:color w:val="8EAADB"/>
        </w:rPr>
        <w:t xml:space="preserve"> – wiemy, które z polskich miast są najzdrowsze</w:t>
      </w:r>
    </w:p>
    <w:p w14:paraId="5248B71A" w14:textId="77777777" w:rsidR="00FF28B9" w:rsidRDefault="00FF28B9">
      <w:pPr>
        <w:pStyle w:val="Default"/>
        <w:jc w:val="center"/>
        <w:rPr>
          <w:b/>
          <w:bCs/>
          <w:color w:val="8EAADB"/>
          <w:sz w:val="28"/>
          <w:szCs w:val="28"/>
        </w:rPr>
      </w:pPr>
    </w:p>
    <w:p w14:paraId="1B98D9C8" w14:textId="77777777" w:rsidR="00FC2C94" w:rsidRDefault="00FC2C94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B64F6F7" w14:textId="37EF075A" w:rsidR="000B0940" w:rsidRPr="000B0940" w:rsidRDefault="000B0940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Podczas</w:t>
      </w:r>
      <w:r w:rsidR="003D37E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wieczornej Gali, w pierwszym dniu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Kongresu Zdrowe Miasta: Ludzie – Biznes – Środowisko, ogłoszono wyniki tegorocznej, trzeciej już edycji Indeksu Zdrowych Miast. Wyjątkowy projekt tworzony przez Grupę LUX MED we współpracy ze Szkołą Główną Handlową w Warszawie, Fundacją Gospodarki i Administracji Publicznej i Open </w:t>
      </w:r>
      <w:proofErr w:type="spellStart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Eyes</w:t>
      </w:r>
      <w:proofErr w:type="spellEnd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Economy</w:t>
      </w:r>
      <w:proofErr w:type="spellEnd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Summit</w:t>
      </w:r>
      <w:proofErr w:type="spellEnd"/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(OEES), prezentuje warunki życia w </w:t>
      </w:r>
      <w:r w:rsidR="000B434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66 </w:t>
      </w:r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polskich miastach na prawach powiatu. W tegorocznej edycji nie zabrakło niespodzianek i nowości – m.in. </w:t>
      </w:r>
      <w:r w:rsidR="003D37E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dwóch rankingów w kategorii głównej –</w:t>
      </w:r>
      <w:r w:rsidR="003D37E5"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dla miast poniżej i powyżej 300 tys</w:t>
      </w:r>
      <w:r w:rsidR="000B434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ięcy</w:t>
      </w:r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mieszkańców. Zwycięzcą 3. edycji wśród dużych miast został Poznań, a wśród tych mniejszych – Sopot. Jak wyglądają dalsze miejsca na podium</w:t>
      </w:r>
      <w:r w:rsidR="000B434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oraz jakie miasta zostały liderami ośmiu kategorii sektorowych</w:t>
      </w:r>
      <w:r w:rsidRPr="000B0940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?</w:t>
      </w:r>
    </w:p>
    <w:p w14:paraId="2EF7BC21" w14:textId="77777777" w:rsidR="00FC2C94" w:rsidRDefault="00FC2C94" w:rsidP="00FC2C94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70FB0A1E" w14:textId="67F9CEF3" w:rsidR="000B0940" w:rsidRDefault="000B0940" w:rsidP="00FC2C94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Indeks Zdrowych Miast to ogólnopolska inicjatywa, która </w:t>
      </w:r>
      <w:r w:rsidR="000B434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przedstawia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podejści</w:t>
      </w:r>
      <w:r w:rsidR="008E549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e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polskich miast do kwestii związanych nie tylko ze zdrowiem, ale ogólnie pojętym dobrostanem mieszkańców. Publikacja jest zbiorem informacji o podejmowanych przez lokalne samorządy inwestycjach i działaniach, które tworzą coraz bardziej zrównoważoną przestrzeń miejską. Dzięki analizie, samorządy mogą zweryfikować wprowadzane przez siebie praktyki i zobaczyć ich realny wpływ na poziom jakości życia mieszkańców. Miasta zostały ponownie ocenione w ośmiu kategoriach: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zdrowie, ludność, usługi komunalne i społeczne, edukacja, mieszkalnictwo, środowisko, infrastruktura i przestrzeń.</w:t>
      </w:r>
    </w:p>
    <w:p w14:paraId="2EA148D9" w14:textId="77777777" w:rsidR="00371152" w:rsidRDefault="00371152" w:rsidP="00FC2C94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1BDE177D" w14:textId="61829B1A" w:rsidR="00371152" w:rsidRPr="00FC2C94" w:rsidRDefault="00371152" w:rsidP="00FC2C94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Kategoria główna w podziale na mniejsze i większe miasta </w:t>
      </w:r>
    </w:p>
    <w:p w14:paraId="16DB606E" w14:textId="77777777" w:rsidR="000B0940" w:rsidRPr="000B0940" w:rsidRDefault="000B0940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9C01B1B" w14:textId="18DFCEAF" w:rsidR="000B0940" w:rsidRDefault="000B0940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Nowością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wprowadzoną do zestawienia w tegorocznej edycji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jest podział w kategorii głównej na miasta poniżej 300 tys. mieszkańców i te powyżej tej liczby. Wśród miast poniżej 300 tys. mieszkańców laur zwycięzcy przypadł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Sopotowi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Na drugim miejscu uplasowała się trójmiejska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Gdynia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a na trzecim podkarpacki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Rzeszów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Wśród wielkich aglomeracji niespodzianka – to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Poznań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jest miastem, w którym żyje się najlepiej. Na podium obok stolicy Wielkopolski, uplasowała się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Warszawa</w:t>
      </w:r>
      <w:r w:rsidR="008E549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która rok temu stała na pierwszym miejscu podium</w:t>
      </w:r>
      <w:r w:rsidR="003D37E5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Na trzecim miejscu znalazł się </w:t>
      </w:r>
      <w:r w:rsidRPr="008E5496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Gdańsk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</w:p>
    <w:p w14:paraId="50829C5C" w14:textId="77777777" w:rsidR="000B0940" w:rsidRPr="000B0940" w:rsidRDefault="000B0940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4F1BB00" w14:textId="00972B0D" w:rsidR="008954A2" w:rsidRPr="008954A2" w:rsidRDefault="008954A2" w:rsidP="008954A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8954A2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– Zależy nam, by Indeks Zdrowych Miast był punktem odniesienia i inspiracją dla samorządów, mieszkańców i naukowców. Powstał po to, by zmieniać miasta, wspierać ich rozwój tak, by wszystkim nam żyło się w nich po prostu lepiej. Liczę, że dane jakie przywołujemy w raporcie będą swego rodzaju inspiracją dla władz samorządowych, jak i w którym kierunku warto się doskonalić, by zadbać o dobrostan mieszkańców</w:t>
      </w:r>
      <w:r w:rsidRPr="008954A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mówi </w:t>
      </w:r>
      <w:r w:rsidRPr="008954A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Anna </w:t>
      </w:r>
      <w:proofErr w:type="spellStart"/>
      <w:r w:rsidRPr="008954A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Rulkiewicz</w:t>
      </w:r>
      <w:proofErr w:type="spellEnd"/>
      <w:r w:rsidRPr="008954A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, inicjatorka Indeksu, członkini rady programowej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K</w:t>
      </w:r>
      <w:r w:rsidRPr="008954A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ongresu Zdrowe Miasta i prezeska Grupy LUX MED.</w:t>
      </w:r>
    </w:p>
    <w:p w14:paraId="72497101" w14:textId="77777777" w:rsidR="000B0940" w:rsidRPr="000B0940" w:rsidRDefault="000B0940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3AFB33E2" w14:textId="43C98F1A" w:rsidR="00FC2C94" w:rsidRDefault="00DD2AC4" w:rsidP="005955C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lastRenderedPageBreak/>
        <w:t>Kto został liderem? Te miasta przodują w swoich kategoriach</w:t>
      </w:r>
    </w:p>
    <w:p w14:paraId="1258AC67" w14:textId="77777777" w:rsidR="00371152" w:rsidRPr="00DD2AC4" w:rsidRDefault="00371152" w:rsidP="005955CA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3D0B6754" w14:textId="2398164F" w:rsidR="005955CA" w:rsidRPr="00C3700C" w:rsidRDefault="000B0940" w:rsidP="005955CA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każdej 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z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ośmiu kategorii sektorowych,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wzorem lat poprzednich,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również wyłoniono </w:t>
      </w:r>
      <w:r w:rsidR="005955C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liderów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  <w:r w:rsidR="005955C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Podczas uroczystej 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G</w:t>
      </w:r>
      <w:r w:rsidR="005955C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ali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23 września 2024 r.,</w:t>
      </w:r>
      <w:r w:rsidR="005955CA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Prezydenci oraz reprezentanci nagrodzonych miast odebrali specjalne wyróżnienia przygotowane przez organizatorów Kongresu Zdrowe Miasta. Zostały one przyznane następującym miastom: </w:t>
      </w:r>
    </w:p>
    <w:p w14:paraId="24B0A669" w14:textId="77777777" w:rsidR="00697ED2" w:rsidRDefault="00697ED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sectPr w:rsidR="00697E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227" w:footer="57" w:gutter="0"/>
          <w:cols w:space="708"/>
          <w:formProt w:val="0"/>
          <w:docGrid w:linePitch="600" w:charSpace="40960"/>
        </w:sectPr>
      </w:pPr>
    </w:p>
    <w:p w14:paraId="2C888296" w14:textId="77777777" w:rsidR="00697ED2" w:rsidRDefault="00697ED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7238E86E" w14:textId="77777777" w:rsidR="00697ED2" w:rsidRDefault="00697ED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3B3C57E5" w14:textId="77777777" w:rsidR="00697ED2" w:rsidRDefault="00697ED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sectPr w:rsidR="00697ED2" w:rsidSect="00697ED2">
          <w:type w:val="continuous"/>
          <w:pgSz w:w="11906" w:h="16838"/>
          <w:pgMar w:top="1417" w:right="1417" w:bottom="1417" w:left="1417" w:header="227" w:footer="57" w:gutter="0"/>
          <w:cols w:num="2" w:space="708"/>
          <w:formProt w:val="0"/>
          <w:docGrid w:linePitch="600" w:charSpace="40960"/>
        </w:sectPr>
      </w:pPr>
    </w:p>
    <w:p w14:paraId="3281127D" w14:textId="77777777" w:rsidR="00371152" w:rsidRPr="00697ED2" w:rsidRDefault="00371152" w:rsidP="0037115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697ED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Zestawienie główne powyżej 300 tysięcy mieszkańców</w:t>
      </w:r>
    </w:p>
    <w:p w14:paraId="1CAF2219" w14:textId="77777777" w:rsidR="00371152" w:rsidRDefault="00371152" w:rsidP="0037115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Poznań</w:t>
      </w:r>
    </w:p>
    <w:p w14:paraId="05BBE703" w14:textId="77777777" w:rsidR="00371152" w:rsidRDefault="00371152" w:rsidP="0037115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Warszawa</w:t>
      </w:r>
    </w:p>
    <w:p w14:paraId="149A0DF9" w14:textId="77777777" w:rsidR="00371152" w:rsidRDefault="00371152" w:rsidP="0037115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Gdańsk</w:t>
      </w:r>
    </w:p>
    <w:p w14:paraId="431CD1C6" w14:textId="77777777" w:rsidR="00371152" w:rsidRPr="00697ED2" w:rsidRDefault="00371152" w:rsidP="0037115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DBB5F4A" w14:textId="402609B9" w:rsidR="00697ED2" w:rsidRDefault="00697ED2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Zestawienie główne poniżej 300 tysięcy mieszkańców</w:t>
      </w:r>
    </w:p>
    <w:p w14:paraId="71C4323C" w14:textId="0BEEFB24" w:rsidR="00697ED2" w:rsidRPr="00697ED2" w:rsidRDefault="00697ED2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697ED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Sopot</w:t>
      </w:r>
    </w:p>
    <w:p w14:paraId="31E69364" w14:textId="5D56D59E" w:rsidR="00697ED2" w:rsidRPr="00697ED2" w:rsidRDefault="00697ED2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697ED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Gdynia</w:t>
      </w:r>
    </w:p>
    <w:p w14:paraId="5300138C" w14:textId="43A87B3C" w:rsidR="00697ED2" w:rsidRDefault="00697ED2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697ED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III miejsce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 w:rsidRPr="00697ED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Rzeszów</w:t>
      </w:r>
    </w:p>
    <w:p w14:paraId="5F6CF053" w14:textId="77777777" w:rsidR="00697ED2" w:rsidRDefault="00697ED2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2605CF07" w14:textId="78995769" w:rsidR="000B0940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Zdrowie</w:t>
      </w:r>
    </w:p>
    <w:p w14:paraId="06DC689D" w14:textId="1E548A94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Rybnik</w:t>
      </w:r>
    </w:p>
    <w:p w14:paraId="25DA559E" w14:textId="1F1D3FB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Poznań</w:t>
      </w:r>
    </w:p>
    <w:p w14:paraId="04D93CAC" w14:textId="77777777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Gdynia</w:t>
      </w:r>
    </w:p>
    <w:p w14:paraId="21348918" w14:textId="77777777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E76131E" w14:textId="77777777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Ludność i pokolenia</w:t>
      </w:r>
    </w:p>
    <w:p w14:paraId="55E51C72" w14:textId="6069E502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Rzeszów</w:t>
      </w:r>
    </w:p>
    <w:p w14:paraId="18B8218C" w14:textId="6DA0195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Kraków</w:t>
      </w:r>
    </w:p>
    <w:p w14:paraId="66650C20" w14:textId="04238DCB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Gdańsk</w:t>
      </w:r>
    </w:p>
    <w:p w14:paraId="4204652D" w14:textId="77777777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61A66E4" w14:textId="002F66BD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Usługi komunalne i społeczne</w:t>
      </w:r>
    </w:p>
    <w:p w14:paraId="4DE0CEB3" w14:textId="5E51AE43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Przemyśl</w:t>
      </w:r>
    </w:p>
    <w:p w14:paraId="5306E4A2" w14:textId="5FD2B5C6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Płock</w:t>
      </w:r>
    </w:p>
    <w:p w14:paraId="2F102314" w14:textId="613BCFFD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Leszno</w:t>
      </w:r>
    </w:p>
    <w:p w14:paraId="1A9E0541" w14:textId="77777777" w:rsidR="00697ED2" w:rsidRDefault="00697ED2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B45BC84" w14:textId="0C39A5E5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Edukacja</w:t>
      </w:r>
    </w:p>
    <w:p w14:paraId="1932465F" w14:textId="0C36124F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Kraków</w:t>
      </w:r>
    </w:p>
    <w:p w14:paraId="0037058F" w14:textId="202E6935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Warszawa</w:t>
      </w:r>
    </w:p>
    <w:p w14:paraId="572B281C" w14:textId="343AB673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Wrocław</w:t>
      </w:r>
    </w:p>
    <w:p w14:paraId="7444F327" w14:textId="77777777" w:rsidR="00697ED2" w:rsidRDefault="00697ED2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24EE9E4C" w14:textId="01ECCB6E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Mieszkalnictwo</w:t>
      </w:r>
    </w:p>
    <w:p w14:paraId="491FC8D8" w14:textId="0294CA5F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Sopot</w:t>
      </w:r>
    </w:p>
    <w:p w14:paraId="296730D0" w14:textId="48B24C2B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Katowice</w:t>
      </w:r>
    </w:p>
    <w:p w14:paraId="49622601" w14:textId="575C3FC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Chorzów</w:t>
      </w:r>
    </w:p>
    <w:p w14:paraId="4AD9CBDE" w14:textId="77777777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80CB7D6" w14:textId="5A9F1E4B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Środowisko</w:t>
      </w:r>
    </w:p>
    <w:p w14:paraId="0BEC9D06" w14:textId="03AEEE7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Sopot</w:t>
      </w:r>
    </w:p>
    <w:p w14:paraId="18BDD9A5" w14:textId="211AC623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Olsztyn</w:t>
      </w:r>
    </w:p>
    <w:p w14:paraId="7EF51D2C" w14:textId="00E5F2F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Poznań</w:t>
      </w:r>
    </w:p>
    <w:p w14:paraId="69F2BBA7" w14:textId="77777777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AAD2D6A" w14:textId="21CF59DC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Infrastruktura </w:t>
      </w:r>
    </w:p>
    <w:p w14:paraId="2626264E" w14:textId="36517FE9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Ostrołęka</w:t>
      </w:r>
    </w:p>
    <w:p w14:paraId="79310644" w14:textId="6CBC8BB5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Tychy</w:t>
      </w:r>
    </w:p>
    <w:p w14:paraId="77E02926" w14:textId="7DAB839F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III miejsce – Wałbrzych</w:t>
      </w:r>
    </w:p>
    <w:p w14:paraId="73C47FD3" w14:textId="77777777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5012F533" w14:textId="7A1B265A" w:rsidR="005955CA" w:rsidRPr="005955CA" w:rsidRDefault="005955CA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955CA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Przestrzeń</w:t>
      </w:r>
    </w:p>
    <w:p w14:paraId="2392CDF6" w14:textId="7AE3BF50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 miejsce – Chorzów</w:t>
      </w:r>
    </w:p>
    <w:p w14:paraId="1C9A6DC2" w14:textId="6C70C1A8" w:rsidR="005955CA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II miejsce – Zielona Góra</w:t>
      </w:r>
    </w:p>
    <w:p w14:paraId="27ECD872" w14:textId="4B63E26B" w:rsidR="00697ED2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sectPr w:rsidR="00697ED2" w:rsidSect="00697ED2">
          <w:type w:val="continuous"/>
          <w:pgSz w:w="11906" w:h="16838"/>
          <w:pgMar w:top="1417" w:right="1417" w:bottom="1417" w:left="1417" w:header="227" w:footer="57" w:gutter="0"/>
          <w:cols w:num="2" w:space="708"/>
          <w:formProt w:val="0"/>
          <w:docGrid w:linePitch="600" w:charSpace="40960"/>
        </w:sect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III miejsce – Świnoujście </w:t>
      </w:r>
    </w:p>
    <w:p w14:paraId="1504B865" w14:textId="77777777" w:rsidR="00697ED2" w:rsidRDefault="00697ED2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sectPr w:rsidR="00697ED2" w:rsidSect="00697ED2">
          <w:type w:val="continuous"/>
          <w:pgSz w:w="11906" w:h="16838"/>
          <w:pgMar w:top="1417" w:right="1417" w:bottom="1417" w:left="1417" w:header="227" w:footer="57" w:gutter="0"/>
          <w:cols w:num="3" w:space="708"/>
          <w:formProt w:val="0"/>
          <w:docGrid w:linePitch="600" w:charSpace="40960"/>
        </w:sectPr>
      </w:pPr>
    </w:p>
    <w:p w14:paraId="535B003A" w14:textId="77777777" w:rsidR="005955CA" w:rsidRPr="000B0940" w:rsidRDefault="005955CA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4925FED" w14:textId="7A481BFA" w:rsidR="00C3700C" w:rsidRDefault="00532892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3289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532892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Odpowiedzialność za przyszłość 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planety</w:t>
      </w:r>
      <w:r w:rsidRPr="00532892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spoczywa na nas wszystkich, a działania, jakie podejmujemy dzisiaj, mają bezpośredni wpływ na kondycję środowiska oraz zdrowie przyszłych pokoleń. Współczesne wyzwania, takie jak zmiany klimatyczne i nieracjonalne gospodarowanie zasobami, wymagają zaangażowania zarówno władz samorządowych, jak i mieszkańców. Indeks Zdrowych Miast jest cennym narzędziem, które nie tylko pomaga ocenić, gdzie jesteśmy, ale także wskazuje kierunki działań na rzecz poprawy jakości życia i ochrony środowi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ska</w:t>
      </w:r>
      <w:r w:rsidR="000B0940"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mówi </w:t>
      </w:r>
      <w:r w:rsidRPr="0053289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dr hab. Piotr Wachowiak, </w:t>
      </w:r>
      <w:r w:rsidR="00A7006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prof. SGH,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Rektor </w:t>
      </w:r>
      <w:r w:rsidRPr="0053289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zkoły Głównej Handlowej</w:t>
      </w:r>
      <w:r w:rsidR="00A7006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w Warszawie</w:t>
      </w:r>
      <w:r w:rsid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</w:t>
      </w:r>
      <w:r w:rsidR="00371152" w:rsidRP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współorganizator Kongresu Zdrowe Miasta</w:t>
      </w:r>
      <w:r w:rsidR="007934D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.</w:t>
      </w:r>
    </w:p>
    <w:p w14:paraId="11E89638" w14:textId="77777777" w:rsidR="000B0940" w:rsidRDefault="000B0940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32245CD" w14:textId="0110ABF3" w:rsidR="00DD2AC4" w:rsidRDefault="00DD2AC4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Z czym mierzą się polskie miasta? </w:t>
      </w:r>
    </w:p>
    <w:p w14:paraId="07DEB6DB" w14:textId="77777777" w:rsidR="00371152" w:rsidRPr="00DD2AC4" w:rsidRDefault="00371152" w:rsidP="00697ED2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216EB22F" w14:textId="39DBEBF6" w:rsidR="008E5496" w:rsidRDefault="000B0940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Współcześnie polskie miasta stają przed dużymi wyzwaniami: począwszy od starzeni</w:t>
      </w:r>
      <w:r w:rsidR="003D37E5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a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się społeczeństw, poprzez napływ nowych mieszkańców (za sprawą m.in. emigracji zarobkowej)</w:t>
      </w:r>
      <w:r w:rsidR="003D37E5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po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coraz wyższe oczekiwania względem jakości edukacji czy oferowanych usług dotyczących zdrowia. Mieszkańcy polskich miast chcą czystego środowiska, dostępu do terenów rekreacyjnych, dbania o ich zdrowie i dobrostan psychiczny, ale też wsparcia w realizacji własnego stylu życia. </w:t>
      </w:r>
    </w:p>
    <w:p w14:paraId="080EDD98" w14:textId="77777777" w:rsidR="00202535" w:rsidRDefault="00202535" w:rsidP="00697ED2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6AA6B35" w14:textId="7765E7E2" w:rsidR="00202535" w:rsidRDefault="00202535" w:rsidP="00202535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3289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Z</w:t>
      </w:r>
      <w:r w:rsidRPr="00202535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achęcamy do myślenia o zdrowiu jako kluczowym zasobie, który napędza innowacyjność i produktywność. Aby zapewnić stabilną i zrównoważoną przyszłość miast, konieczne jest uwzględnienie zdrowia mieszkańców w długoterminowych strategiach. To ono bowiem wpływa na aktywność zawodową, zaangażowanie społeczne i jakość życia, co ostatecznie przekłada się na rozwój całej lokalnej gospodarki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mówi 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prof. </w:t>
      </w:r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Jerzy Hausner, Przewodnicz</w:t>
      </w:r>
      <w:r w:rsidRPr="00202535">
        <w:rPr>
          <w:rFonts w:ascii="Calibri" w:eastAsia="Franklin Gothic Book" w:hAnsi="Calibri" w:cs="Calibri" w:hint="eastAsia"/>
          <w:b/>
          <w:bCs/>
          <w:color w:val="595959"/>
          <w:position w:val="9"/>
          <w:sz w:val="22"/>
          <w:szCs w:val="20"/>
          <w:lang w:eastAsia="ja-JP" w:bidi="ar-SA"/>
        </w:rPr>
        <w:t>ą</w:t>
      </w:r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cy Rady Programowej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Open </w:t>
      </w:r>
      <w:proofErr w:type="spellStart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Eyes</w:t>
      </w:r>
      <w:proofErr w:type="spellEnd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Economy</w:t>
      </w:r>
      <w:proofErr w:type="spellEnd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Summit</w:t>
      </w:r>
      <w:proofErr w:type="spellEnd"/>
      <w:r w:rsidRPr="00202535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Fundacja GAP</w:t>
      </w:r>
      <w:r w:rsid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współorganizator Kongresu Zdrowe Miasta.</w:t>
      </w:r>
    </w:p>
    <w:p w14:paraId="26E6FA1F" w14:textId="77777777" w:rsidR="008E5496" w:rsidRDefault="008E5496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C856DBC" w14:textId="367E828D" w:rsidR="00DD2AC4" w:rsidRDefault="00DD2AC4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 każdym rokiem więcej zmian</w:t>
      </w:r>
    </w:p>
    <w:p w14:paraId="42AF11F2" w14:textId="77777777" w:rsidR="00371152" w:rsidRPr="00DD2AC4" w:rsidRDefault="0037115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5CE480CC" w14:textId="5150522C" w:rsidR="000B0940" w:rsidRDefault="000B0940" w:rsidP="00A7006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Indeks Zdrowych Miast jest narzędziem</w:t>
      </w:r>
      <w:r w:rsidR="008E549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-drogowskazem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dla władz samorządowych, które podczas jego analizy mogą wysnuć wnioski dotyczące koniecznych zmian na zarządzanych przez siebie terenach, ale także porównać się do innych miast w kraju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Pomysłodawcy już potwierdzili kontynuację projektu w </w:t>
      </w:r>
      <w:r w:rsidR="005C687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kolejnych latach.</w:t>
      </w:r>
    </w:p>
    <w:p w14:paraId="3D9F76D0" w14:textId="77777777" w:rsidR="007934DD" w:rsidRDefault="007934DD" w:rsidP="00A7006D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571D948" w14:textId="34FD7A7F" w:rsidR="007934DD" w:rsidRDefault="007934DD" w:rsidP="007934DD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53289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–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W poszczególnych obszarach Indeksu Zdrowych Miast obserwujemy duże zmiany, co pokazuje dynamikę miast. To dowód na to, że działania na rzecz poprawy warunków życia mieszkańców przynoszą efekty. </w:t>
      </w:r>
      <w:r w:rsidRPr="007934DD"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>Samorządy coraz lepiej reagują na zmieniające się potrzeby swoich społeczności, co widać w poprawie wyników wielu miast</w:t>
      </w:r>
      <w:r>
        <w:rPr>
          <w:rFonts w:ascii="Calibri" w:eastAsia="Franklin Gothic Book" w:hAnsi="Calibri" w:cs="Calibri"/>
          <w:i/>
          <w:iCs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– mówi </w:t>
      </w:r>
      <w:r w:rsidRPr="007934D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dr hab. Agnieszka Chłoń-</w:t>
      </w:r>
      <w:proofErr w:type="spellStart"/>
      <w:r w:rsidRPr="007934D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Domińczak</w:t>
      </w:r>
      <w:proofErr w:type="spellEnd"/>
      <w:r w:rsidRPr="007934D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prof.</w:t>
      </w:r>
      <w:r w:rsidR="00A7006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SGH, Prorektorka</w:t>
      </w:r>
      <w:r w:rsidRPr="007934D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S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zkoły Głównej Handlowej</w:t>
      </w:r>
      <w:r w:rsidR="00A7006D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 w Warszawie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. </w:t>
      </w:r>
    </w:p>
    <w:p w14:paraId="0AD7D778" w14:textId="77777777" w:rsidR="007934DD" w:rsidRPr="000B0940" w:rsidRDefault="007934DD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452E043A" w14:textId="0E10062F" w:rsidR="000B0940" w:rsidRDefault="00BC4C62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Nad przygotowaniem tegorocznej edycji Indeksu Zdrowych Miast pracował zespół ekspertów pod kierownictwem dr hab. Agnieszki Chłoń-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Domińczak</w:t>
      </w:r>
      <w:proofErr w:type="spellEnd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Prorektorki ds. nauki Szkoły Głównej Handlowej w Warszawie. Za metodologię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oraz obszar usług komunalnych i społecznych </w:t>
      </w:r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odpowiadał dr Jakub Głowacki z Uniwersytetu Ekonomicznego w Krakowie (UEK). Obszarem zdrowia zajmował się zespół składający się z dr hab. Barbary Więckowskiej, dr hab. Violetty 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Korporowicz</w:t>
      </w:r>
      <w:proofErr w:type="spellEnd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-Żmichowskiej, dr hab. Moniki 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Raulinajtys</w:t>
      </w:r>
      <w:proofErr w:type="spellEnd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-Grzybek oraz mgr Melanii Raczek-Żeromskiej. Obszar ludności i pokoleń 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oraz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edukacji </w:t>
      </w:r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koordynowała dr hab. Agnieszka Chłoń-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Domińczak</w:t>
      </w:r>
      <w:proofErr w:type="spellEnd"/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Nad kategoriami mieszkalnictwo i środowisko pieczę sprawował </w:t>
      </w:r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dr hab. Adam Czerniak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Infrastruktura była nadzorowana przez mgr Michała 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Tarachę</w:t>
      </w:r>
      <w:proofErr w:type="spellEnd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oraz inż. Jakuba Kaczorowskiego, a obszar przestrzeni – dr Michała Kudłacza. Dodatkowo, ankiety do mieszkańców i władz miast opracowali dr hab. Jacek Sierak oraz Małgorzata </w:t>
      </w:r>
      <w:proofErr w:type="spellStart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Krytak</w:t>
      </w:r>
      <w:proofErr w:type="spellEnd"/>
      <w:r w:rsidRPr="00BC4C6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studentka SGH.</w:t>
      </w:r>
    </w:p>
    <w:p w14:paraId="4F524E7E" w14:textId="30D43BED" w:rsidR="00BC4C62" w:rsidRDefault="00BC4C62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11A9542" w14:textId="1768BA8E" w:rsidR="00FC2C94" w:rsidRDefault="00DD2AC4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Nowy kierunek badań. Dobrostan psychiczny priorytetem dla miast</w:t>
      </w:r>
    </w:p>
    <w:p w14:paraId="2549AE96" w14:textId="77777777" w:rsidR="00371152" w:rsidRPr="00DD2AC4" w:rsidRDefault="00371152" w:rsidP="000B0940">
      <w:pPr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31C846CC" w14:textId="77777777" w:rsidR="00371152" w:rsidRDefault="00FC2C94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tegorocznej publikacji Indeksu Zdrowych Miast został uwzględniony nowy obszar, jakim jest </w:t>
      </w: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dobrostan psychiczny mieszkańców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Kantar Polska, 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na zlecenie Grupy LUX MED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przeprowadz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ił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badanie, które miało na celu zrozumienie, w jaki sposób mieszkańcy miast odczuwają samotność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i jak przestrzeń miejska wpływa na ich zdrowie psychiczne. </w:t>
      </w:r>
    </w:p>
    <w:p w14:paraId="14B27463" w14:textId="77777777" w:rsidR="00371152" w:rsidRDefault="00371152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2AF546A8" w14:textId="7BC6F1E0" w:rsidR="00DD2AC4" w:rsidRDefault="00FC2C94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Jak wynika z Kantar </w:t>
      </w:r>
      <w:proofErr w:type="spellStart"/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Sustainability</w:t>
      </w:r>
      <w:proofErr w:type="spellEnd"/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proofErr w:type="spellStart"/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Sector</w:t>
      </w:r>
      <w:proofErr w:type="spellEnd"/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Index 2023 w rankingu największych obaw Polek i Polaków kwestia zdrowia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psychicznego znajduje się na wysokiej pozycji – aż </w:t>
      </w:r>
      <w:r w:rsidRP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36%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ankietowanych wskazuje ją jako kluczową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natomiast </w:t>
      </w:r>
      <w:r w:rsidRPr="00FC2C9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25%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uważa, że problemy ze zdrowiem psychicznym powinny zostać rozwiązane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jak najszybciej.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Jak wynika z badania „Dobrostan psychiczny a wybrana oferta miast”</w:t>
      </w:r>
      <w:r w:rsidR="00371152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, którą Kantar zrealizował na zlecenie Grupy LUX MED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– aż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DD2AC4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65%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mieszkańców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uważa, że do obowiązków miasta należy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Pr="00FC2C94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troska o dobrostan psychiczny swoich mieszkańców.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A7006D" w:rsidRPr="009C75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Niestety jedynie </w:t>
      </w:r>
      <w:r w:rsidR="00A7006D" w:rsidRPr="00371152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24%</w:t>
      </w:r>
      <w:r w:rsidR="00A7006D" w:rsidRPr="009C75E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mieszkańców jest przekonanych, że ich miasto dba o dobrostan psychiczny swoich mieszkańców.</w:t>
      </w:r>
      <w:r w:rsidR="00A7006D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Jest to więc szczególny obszar do zaopiekowania przez samorządy. </w:t>
      </w:r>
    </w:p>
    <w:p w14:paraId="4493FB61" w14:textId="77777777" w:rsidR="00371152" w:rsidRPr="000B0940" w:rsidRDefault="00371152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1164F10D" w14:textId="2842B577" w:rsidR="000B0940" w:rsidRPr="000B0940" w:rsidRDefault="000B0940" w:rsidP="000B0940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0B094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Raport Indeks Zdrowych Miast jest dostępny pod linkiem: </w:t>
      </w:r>
      <w:hyperlink r:id="rId14" w:history="1">
        <w:r w:rsidR="00BF616E" w:rsidRPr="00BF616E"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Indeks Zdrowych Miast - Grupa LUX MED</w:t>
        </w:r>
      </w:hyperlink>
    </w:p>
    <w:p w14:paraId="581BB7D8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3A68C059" w14:textId="77777777" w:rsidR="00FF28B9" w:rsidRDefault="003E79C1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Grupie LUX MED:</w:t>
      </w:r>
    </w:p>
    <w:p w14:paraId="5FA7D8DE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3B8BAB1" w14:textId="77777777" w:rsidR="00371152" w:rsidRPr="003F5F5C" w:rsidRDefault="00371152" w:rsidP="00371152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Grupa LUX MED jest liderem rynku prywatnych usług zdrowotnych w Polsce i częścią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Bupa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, która działa, jako ubezpieczyciel i świadczeniodawca usług medycznych na całym świecie. Firma świadczy swoje usługi w Polsce od ponad 30 lat. Grupa LUX MED zapewnia pełną opiekę: ambulatoryjną, diagnostyczną, rehabilitacyjną, stomatologiczną, psychologiczną, szpitalną i długoterminową dla ponad 3 000 000 pacjentów. Do ich dyspozycji jest ponad 300 ogólnodostępnych i przyzakładowych centrów medycznych, 16 szpitali oraz ok. 3 000 poradni partnerskich. Grupa LUX MED zatrudnia ponad 24 000 osób, w tym ponad 10 000 lekarzy i 8 000 wspierającego personelu medycznego, a w codziennej działalności, kieruje się zasadami zrównoważonego rozwoju, podejmując liczne inicjatywy z obszarów zaangażowania społecznego i środowiska. Grupa LUX MED jest Głównym Partnerem Medycznym Polskiego Komitetu Olimpijskiego i Głównym Partnerem Medycznym Polskiego Komitetu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Paralimpijskiego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.</w:t>
      </w:r>
    </w:p>
    <w:p w14:paraId="0249F76E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AA5DD66" w14:textId="77777777" w:rsidR="00FF28B9" w:rsidRDefault="003E79C1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5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www.luxmed.pl</w:t>
        </w:r>
      </w:hyperlink>
    </w:p>
    <w:p w14:paraId="782B72DC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5E26CD7" w14:textId="77777777" w:rsidR="00FF28B9" w:rsidRDefault="003E79C1"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Szkole Głównej Handlowej w Warszawie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:</w:t>
      </w:r>
    </w:p>
    <w:p w14:paraId="4A7644F4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6401E1B" w14:textId="77777777" w:rsidR="00FF28B9" w:rsidRDefault="003E79C1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Szkoła Główna Handlowa w Warszawie to innowacyjna uczelnia ekonomiczna kształcąca liderów życia gospodarczego i społecznego. Naukowcy SGH zgłębiają kluczowe dla współczesnego świata zagadnienia w taki sposób, aby zdobyć na ich temat wiedzę, z której da się wyprowadzić trafne wnioski i zaprojektować efektywne działania. Uczelnia jest znaczącym ośrodkiem badań naukowych, nowych idei i inicjatyw, kreowanych przez wspólnotę akademicką, absolwentów, a także przedstawicieli biznesu, organizacji społecznych i administracji publicznej. Realizuje badania i opracowuje ekspertyzy na zamówienia przedsiębiorstw, instytucji publicznych i jednostek samorządu terytorialnego. Jednym z elementów tej współpracy jest wzmacnianie potencjału SGH i wspólne dążenie do umacniania jej pozycji jako wiodącej uczelni ekonomiczno-biznesowej. SGH, niezależna i wrażliwa społecznie, rozwija obywatelskie oraz etyczne postawy poprzez swoją działalność dydaktyczną, badawczą i opiniotwórczą. Jej celem jest też kształcenie przyszłych liderów. Łącząc praktyczne doświadczenie z teorią, SGH zachęca swoich partnerów biznesowych do pokazywania studentom i studentkom, jak właściwie wykorzystać zdobytą wiedzę i umiejętności, aby przekuć je w sukces. Uczelnia oferuje studia licencjackie, magisterskie, doktoranckie, podyplomowe oraz MBA w języku angielskim.</w:t>
      </w:r>
    </w:p>
    <w:p w14:paraId="54CFC700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421238FF" w14:textId="77777777" w:rsidR="00FF28B9" w:rsidRDefault="003E79C1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6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www.sgh.waw.pl</w:t>
        </w:r>
      </w:hyperlink>
    </w:p>
    <w:p w14:paraId="50215AFD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2AAC7946" w14:textId="77777777" w:rsidR="00FF28B9" w:rsidRDefault="003E79C1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Fundacji GAP:</w:t>
      </w:r>
    </w:p>
    <w:p w14:paraId="35B53258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1D4302CB" w14:textId="61E5C493" w:rsidR="004949C7" w:rsidRPr="004949C7" w:rsidRDefault="003E79C1" w:rsidP="004949C7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Fundacja Gospodarki i Administracji Publicznej jest jedną z najdynamiczniej rozwijających się organizacji pozarządowych w Małopolsce. Została powołana w 2005 roku przez grono pracowników Uniwersytetu Ekonomicznego w Krakowie. Fundacji przyświeca misja rozwijania 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lastRenderedPageBreak/>
        <w:t xml:space="preserve">ekonomii wartości oraz upowszechnianie rozwiązań na niej bazujących w działaniach i debacie publicznej. Misja ta realizowana jest w szczególności poprzez tworzenie ośrodka analiz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think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tanku OEES HUB, organizację wydarzeń kreujących rozwiązania odpowiedzialnego rozwoju a także prowadzone doradztwo rozwojowe dla MŚP i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NGOsów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. Fundacja GAP jest inicjatorem i organizatorem Kongresu Open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Eyes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Economy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Summi</w:t>
      </w:r>
      <w:r w:rsidR="007A6642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t</w:t>
      </w:r>
      <w:proofErr w:type="spellEnd"/>
      <w:r w:rsidR="004949C7"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, którego 9.</w:t>
      </w:r>
      <w:r w:rsid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r w:rsidR="004949C7"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edycja odbędzie się w Krakowie w dniach 19-20 listopada 2024, a także: Kongresu Solidarni w Rozwoju w Gdańsku, Kongresu Regeneracja Miast w Łodzi oraz Kongresu Miasto-Woda-Jakość Życia we Wrocławiu, w ramach którego współtworzy i wydaje ranking oceniający rozwój miast w Polsce pod względem efektywności gospodarowania zasobami wody – </w:t>
      </w:r>
      <w:proofErr w:type="spellStart"/>
      <w:r w:rsidR="004949C7"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Water</w:t>
      </w:r>
      <w:proofErr w:type="spellEnd"/>
      <w:r w:rsidR="004949C7" w:rsidRPr="004949C7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City Index.</w:t>
      </w:r>
    </w:p>
    <w:p w14:paraId="4E9352EC" w14:textId="2ECEFA31" w:rsidR="007A6642" w:rsidRDefault="007A6642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BE5CF41" w14:textId="5F742219" w:rsidR="00FF28B9" w:rsidRDefault="003E79C1">
      <w:pPr>
        <w:rPr>
          <w:rFonts w:ascii="Calibri" w:hAnsi="Calibri" w:cs="Calibri"/>
          <w:color w:val="FF0000"/>
          <w:sz w:val="22"/>
          <w:szCs w:val="22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7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www.fundacjagap.pl</w:t>
        </w:r>
      </w:hyperlink>
      <w:r w:rsidR="009C75EC">
        <w:rPr>
          <w:rFonts w:ascii="Calibri" w:hAnsi="Calibri" w:cs="Calibri"/>
          <w:sz w:val="22"/>
          <w:szCs w:val="22"/>
        </w:rPr>
        <w:t xml:space="preserve"> </w:t>
      </w:r>
    </w:p>
    <w:sectPr w:rsidR="00FF28B9" w:rsidSect="00697ED2">
      <w:type w:val="continuous"/>
      <w:pgSz w:w="11906" w:h="16838"/>
      <w:pgMar w:top="1417" w:right="1417" w:bottom="1417" w:left="1417" w:header="227" w:footer="57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76A0B5" w14:textId="77777777" w:rsidR="009E3AD7" w:rsidRDefault="009E3AD7">
      <w:r>
        <w:separator/>
      </w:r>
    </w:p>
  </w:endnote>
  <w:endnote w:type="continuationSeparator" w:id="0">
    <w:p w14:paraId="7C27AAC9" w14:textId="77777777" w:rsidR="009E3AD7" w:rsidRDefault="009E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sefin Sans">
    <w:charset w:val="EE"/>
    <w:family w:val="auto"/>
    <w:pitch w:val="variable"/>
    <w:sig w:usb0="A00000FF" w:usb1="4000204B" w:usb2="00000000" w:usb3="00000000" w:csb0="000001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lish">
    <w:altName w:val="Calibri"/>
    <w:charset w:val="EE"/>
    <w:family w:val="auto"/>
    <w:pitch w:val="variable"/>
    <w:sig w:usb0="A00000FF" w:usb1="5000204B" w:usb2="00000000" w:usb3="00000000" w:csb0="00000193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524AF9" w14:textId="77777777" w:rsidR="00A7006D" w:rsidRDefault="00A700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08E2D" w14:textId="77777777" w:rsidR="00A7006D" w:rsidRDefault="00A7006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AD702" w14:textId="77777777" w:rsidR="00A7006D" w:rsidRDefault="00A700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42F07" w14:textId="77777777" w:rsidR="009E3AD7" w:rsidRDefault="009E3AD7">
      <w:r>
        <w:separator/>
      </w:r>
    </w:p>
  </w:footnote>
  <w:footnote w:type="continuationSeparator" w:id="0">
    <w:p w14:paraId="0821A55A" w14:textId="77777777" w:rsidR="009E3AD7" w:rsidRDefault="009E3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CB490" w14:textId="77777777" w:rsidR="00A7006D" w:rsidRDefault="00A700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7B709" w14:textId="2F451DCB" w:rsidR="00FF28B9" w:rsidRDefault="003D37E5">
    <w:pPr>
      <w:pStyle w:val="Nagwek"/>
    </w:pPr>
    <w:r>
      <w:rPr>
        <w:noProof/>
      </w:rPr>
      <w:drawing>
        <wp:anchor distT="0" distB="0" distL="0" distR="0" simplePos="0" relativeHeight="5" behindDoc="1" locked="0" layoutInCell="0" allowOverlap="1" wp14:anchorId="7D25E12C" wp14:editId="2CD8C7FE">
          <wp:simplePos x="0" y="0"/>
          <wp:positionH relativeFrom="margin">
            <wp:align>center</wp:align>
          </wp:positionH>
          <wp:positionV relativeFrom="margin">
            <wp:posOffset>-1831975</wp:posOffset>
          </wp:positionV>
          <wp:extent cx="7597140" cy="11089640"/>
          <wp:effectExtent l="0" t="0" r="3810" b="0"/>
          <wp:wrapNone/>
          <wp:docPr id="2" name="Obraz 1590321400" descr="Obraz zawierający tekst, zrzut ekranu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590321400" descr="Obraz zawierający tekst, zrzut ekranu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108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006D">
      <w:rPr>
        <w:noProof/>
      </w:rPr>
      <w:t xml:space="preserve"> </w:t>
    </w:r>
  </w:p>
  <w:p w14:paraId="6615B6A6" w14:textId="77777777" w:rsidR="00FF28B9" w:rsidRDefault="00FF28B9">
    <w:pPr>
      <w:pStyle w:val="Nagwek"/>
    </w:pPr>
  </w:p>
  <w:p w14:paraId="6A0CEB19" w14:textId="77777777" w:rsidR="00FF28B9" w:rsidRDefault="00FF28B9">
    <w:pPr>
      <w:pStyle w:val="Nagwek"/>
    </w:pPr>
  </w:p>
  <w:p w14:paraId="0CA41466" w14:textId="77777777" w:rsidR="00FF28B9" w:rsidRDefault="00FF28B9">
    <w:pPr>
      <w:pStyle w:val="Nagwek"/>
    </w:pPr>
  </w:p>
  <w:p w14:paraId="0DAF3944" w14:textId="77777777" w:rsidR="00FF28B9" w:rsidRDefault="00FF28B9">
    <w:pPr>
      <w:pStyle w:val="Nagwek"/>
    </w:pPr>
  </w:p>
  <w:p w14:paraId="16349FA0" w14:textId="77777777" w:rsidR="00FF28B9" w:rsidRDefault="00FF28B9">
    <w:pPr>
      <w:pStyle w:val="Nagwek"/>
    </w:pPr>
  </w:p>
  <w:p w14:paraId="7BDC8042" w14:textId="77777777" w:rsidR="00FF28B9" w:rsidRDefault="00FF28B9">
    <w:pPr>
      <w:pStyle w:val="Nagwek"/>
    </w:pPr>
  </w:p>
  <w:p w14:paraId="55315A96" w14:textId="77777777" w:rsidR="00FF28B9" w:rsidRDefault="003E79C1">
    <w:pPr>
      <w:pStyle w:val="Nagwek"/>
      <w:tabs>
        <w:tab w:val="left" w:pos="5860"/>
      </w:tabs>
    </w:pPr>
    <w:r>
      <w:tab/>
    </w:r>
  </w:p>
  <w:p w14:paraId="616D1B02" w14:textId="77777777" w:rsidR="00FF28B9" w:rsidRDefault="00FF28B9">
    <w:pPr>
      <w:pStyle w:val="Nagwek"/>
    </w:pPr>
  </w:p>
  <w:p w14:paraId="31B218DC" w14:textId="2657E36A" w:rsidR="00FF28B9" w:rsidRDefault="00FF28B9">
    <w:pPr>
      <w:pStyle w:val="Nagwek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35E06" w14:textId="77777777" w:rsidR="00A7006D" w:rsidRDefault="00A700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B9"/>
    <w:rsid w:val="00023394"/>
    <w:rsid w:val="00082E48"/>
    <w:rsid w:val="000973DF"/>
    <w:rsid w:val="000B0940"/>
    <w:rsid w:val="000B31E8"/>
    <w:rsid w:val="000B434D"/>
    <w:rsid w:val="000F4CAD"/>
    <w:rsid w:val="00106998"/>
    <w:rsid w:val="001172CA"/>
    <w:rsid w:val="001777C4"/>
    <w:rsid w:val="00202535"/>
    <w:rsid w:val="00236371"/>
    <w:rsid w:val="00247FA5"/>
    <w:rsid w:val="0026637D"/>
    <w:rsid w:val="002F65BD"/>
    <w:rsid w:val="00342AEE"/>
    <w:rsid w:val="00355772"/>
    <w:rsid w:val="00371152"/>
    <w:rsid w:val="003D37E5"/>
    <w:rsid w:val="003E79C1"/>
    <w:rsid w:val="00445F08"/>
    <w:rsid w:val="00476445"/>
    <w:rsid w:val="00484697"/>
    <w:rsid w:val="004949C7"/>
    <w:rsid w:val="004F1992"/>
    <w:rsid w:val="004F4711"/>
    <w:rsid w:val="004F6995"/>
    <w:rsid w:val="00532892"/>
    <w:rsid w:val="00557CE0"/>
    <w:rsid w:val="005955CA"/>
    <w:rsid w:val="005B7116"/>
    <w:rsid w:val="005C6878"/>
    <w:rsid w:val="005E23B8"/>
    <w:rsid w:val="006478BA"/>
    <w:rsid w:val="00697ED2"/>
    <w:rsid w:val="006A4ED7"/>
    <w:rsid w:val="006C22EB"/>
    <w:rsid w:val="007934DD"/>
    <w:rsid w:val="007A6642"/>
    <w:rsid w:val="007D3C6A"/>
    <w:rsid w:val="0082142B"/>
    <w:rsid w:val="008954A2"/>
    <w:rsid w:val="008E5496"/>
    <w:rsid w:val="00917E16"/>
    <w:rsid w:val="009868D8"/>
    <w:rsid w:val="0099043C"/>
    <w:rsid w:val="00993549"/>
    <w:rsid w:val="009C75EC"/>
    <w:rsid w:val="009E3AD7"/>
    <w:rsid w:val="00A11358"/>
    <w:rsid w:val="00A7006D"/>
    <w:rsid w:val="00B948B2"/>
    <w:rsid w:val="00BC358E"/>
    <w:rsid w:val="00BC4C62"/>
    <w:rsid w:val="00BF616E"/>
    <w:rsid w:val="00C1043B"/>
    <w:rsid w:val="00C22F0F"/>
    <w:rsid w:val="00C349B6"/>
    <w:rsid w:val="00C3700C"/>
    <w:rsid w:val="00C5116B"/>
    <w:rsid w:val="00C6511F"/>
    <w:rsid w:val="00CA4818"/>
    <w:rsid w:val="00CD047F"/>
    <w:rsid w:val="00CF3F41"/>
    <w:rsid w:val="00D425B7"/>
    <w:rsid w:val="00D5189B"/>
    <w:rsid w:val="00DD2AC4"/>
    <w:rsid w:val="00EB58F4"/>
    <w:rsid w:val="00F02B23"/>
    <w:rsid w:val="00F12369"/>
    <w:rsid w:val="00FC2C94"/>
    <w:rsid w:val="00F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5765"/>
  <w15:docId w15:val="{AA405473-12B5-4BB6-9681-8FEA76A2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ascii="Josefin Sans" w:eastAsia="Arial Unicode MS" w:hAnsi="Josefin Sans" w:cs="Arial Unicode MS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agwekZnak">
    <w:name w:val="Nagłówek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customStyle="1" w:styleId="StopkaZnak">
    <w:name w:val="Stopka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styleId="Hipercze">
    <w:name w:val="Hyperlink"/>
    <w:rPr>
      <w:color w:val="000080"/>
      <w:u w:val="single"/>
    </w:rPr>
  </w:style>
  <w:style w:type="character" w:customStyle="1" w:styleId="TekstprzypisukocowegoZnak">
    <w:name w:val="Tekst przypisu końcowego Znak"/>
    <w:basedOn w:val="Domylnaczcionkaakapitu"/>
    <w:qFormat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kocowego">
    <w:name w:val="endnote reference"/>
    <w:basedOn w:val="Domylnaczcionkaakapitu"/>
    <w:rPr>
      <w:vertAlign w:val="superscript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character" w:customStyle="1" w:styleId="WWCharLFO1LVL1">
    <w:name w:val="WW_CharLFO1LVL1"/>
    <w:qFormat/>
    <w:rPr>
      <w:rFonts w:ascii="Symbol" w:hAnsi="Symbol"/>
    </w:rPr>
  </w:style>
  <w:style w:type="character" w:customStyle="1" w:styleId="WWCharLFO1LVL2">
    <w:name w:val="WW_CharLFO1LVL2"/>
    <w:qFormat/>
    <w:rPr>
      <w:rFonts w:ascii="Courier New" w:hAnsi="Courier New" w:cs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 w:cs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 w:cs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character" w:customStyle="1" w:styleId="WWCharLFO2LVL1">
    <w:name w:val="WW_CharLFO2LVL1"/>
    <w:qFormat/>
    <w:rPr>
      <w:rFonts w:ascii="Symbol" w:hAnsi="Symbol"/>
    </w:rPr>
  </w:style>
  <w:style w:type="character" w:customStyle="1" w:styleId="WWCharLFO2LVL2">
    <w:name w:val="WW_CharLFO2LVL2"/>
    <w:qFormat/>
    <w:rPr>
      <w:rFonts w:ascii="Courier New" w:hAnsi="Courier New" w:cs="Courier New"/>
    </w:rPr>
  </w:style>
  <w:style w:type="character" w:customStyle="1" w:styleId="WWCharLFO2LVL3">
    <w:name w:val="WW_CharLFO2LVL3"/>
    <w:qFormat/>
    <w:rPr>
      <w:rFonts w:ascii="Wingdings" w:hAnsi="Wingdings"/>
    </w:rPr>
  </w:style>
  <w:style w:type="character" w:customStyle="1" w:styleId="WWCharLFO2LVL4">
    <w:name w:val="WW_CharLFO2LVL4"/>
    <w:qFormat/>
    <w:rPr>
      <w:rFonts w:ascii="Symbol" w:hAnsi="Symbol"/>
    </w:rPr>
  </w:style>
  <w:style w:type="character" w:customStyle="1" w:styleId="WWCharLFO2LVL5">
    <w:name w:val="WW_CharLFO2LVL5"/>
    <w:qFormat/>
    <w:rPr>
      <w:rFonts w:ascii="Courier New" w:hAnsi="Courier New" w:cs="Courier New"/>
    </w:rPr>
  </w:style>
  <w:style w:type="character" w:customStyle="1" w:styleId="WWCharLFO2LVL6">
    <w:name w:val="WW_CharLFO2LVL6"/>
    <w:qFormat/>
    <w:rPr>
      <w:rFonts w:ascii="Wingdings" w:hAnsi="Wingdings"/>
    </w:rPr>
  </w:style>
  <w:style w:type="character" w:customStyle="1" w:styleId="WWCharLFO2LVL7">
    <w:name w:val="WW_CharLFO2LVL7"/>
    <w:qFormat/>
    <w:rPr>
      <w:rFonts w:ascii="Symbol" w:hAnsi="Symbol"/>
    </w:rPr>
  </w:style>
  <w:style w:type="character" w:customStyle="1" w:styleId="WWCharLFO2LVL8">
    <w:name w:val="WW_CharLFO2LVL8"/>
    <w:qFormat/>
    <w:rPr>
      <w:rFonts w:ascii="Courier New" w:hAnsi="Courier New" w:cs="Courier New"/>
    </w:rPr>
  </w:style>
  <w:style w:type="character" w:customStyle="1" w:styleId="WWCharLFO2LVL9">
    <w:name w:val="WW_CharLFO2LVL9"/>
    <w:qFormat/>
    <w:rPr>
      <w:rFonts w:ascii="Wingdings" w:hAnsi="Wingdings"/>
    </w:rPr>
  </w:style>
  <w:style w:type="character" w:customStyle="1" w:styleId="Zakotwiczenieprzypisukocowego">
    <w:name w:val="Zakotwiczenie przypisu końcowego"/>
    <w:qFormat/>
    <w:rPr>
      <w:vertAlign w:val="superscript"/>
    </w:rPr>
  </w:style>
  <w:style w:type="character" w:customStyle="1" w:styleId="Znakiprzypiswkocowych">
    <w:name w:val="Znaki przypisów końcowych"/>
    <w:qFormat/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i/>
      <w:iCs/>
    </w:rPr>
  </w:style>
  <w:style w:type="paragraph" w:styleId="Nagwek">
    <w:name w:val="header"/>
    <w:basedOn w:val="Gwkaistopka"/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autoRedefine/>
    <w:qFormat/>
    <w:pPr>
      <w:suppressAutoHyphens/>
      <w:ind w:right="720"/>
      <w:jc w:val="right"/>
    </w:pPr>
    <w:rPr>
      <w:rFonts w:ascii="Mulish" w:eastAsia="Franklin Gothic Book" w:hAnsi="Mulish"/>
      <w:color w:val="595959"/>
      <w:kern w:val="2"/>
      <w:sz w:val="22"/>
      <w:vertAlign w:val="superscript"/>
      <w:lang w:eastAsia="ja-JP"/>
    </w:rPr>
  </w:style>
  <w:style w:type="paragraph" w:styleId="Akapitzlist">
    <w:name w:val="List Paragraph"/>
    <w:basedOn w:val="Normalny"/>
    <w:qFormat/>
    <w:pPr>
      <w:widowControl/>
      <w:spacing w:before="160" w:after="480" w:line="360" w:lineRule="auto"/>
      <w:ind w:right="720"/>
      <w:contextualSpacing/>
    </w:pPr>
    <w:rPr>
      <w:rFonts w:ascii="Calibri" w:eastAsia="SimSun" w:hAnsi="Calibri" w:cs="Franklin Gothic Book"/>
      <w:b/>
      <w:bCs/>
      <w:color w:val="000000"/>
      <w:kern w:val="0"/>
      <w:lang w:eastAsia="pl-PL" w:bidi="ar-SA"/>
    </w:rPr>
  </w:style>
  <w:style w:type="paragraph" w:styleId="Poprawka">
    <w:name w:val="Revision"/>
    <w:qFormat/>
    <w:pPr>
      <w:suppressAutoHyphens/>
    </w:pPr>
    <w:rPr>
      <w:rFonts w:ascii="Josefin Sans" w:eastAsia="Arial Unicode MS" w:hAnsi="Josefin Sans" w:cs="Mangal"/>
      <w:kern w:val="2"/>
      <w:sz w:val="24"/>
      <w:szCs w:val="21"/>
      <w:lang w:eastAsia="hi-IN" w:bidi="hi-IN"/>
    </w:rPr>
  </w:style>
  <w:style w:type="paragraph" w:styleId="Tekstprzypisukocowego">
    <w:name w:val="endnote text"/>
    <w:basedOn w:val="Normalny"/>
    <w:qFormat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3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1358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1358"/>
    <w:rPr>
      <w:rFonts w:ascii="Josefin Sans" w:eastAsia="Arial Unicode MS" w:hAnsi="Josefin Sans" w:cs="Mangal"/>
      <w:kern w:val="2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3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358"/>
    <w:rPr>
      <w:rFonts w:ascii="Josefin Sans" w:eastAsia="Arial Unicode MS" w:hAnsi="Josefin Sans" w:cs="Mangal"/>
      <w:b/>
      <w:bCs/>
      <w:kern w:val="2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55CA"/>
    <w:rPr>
      <w:rFonts w:cs="Mangal"/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55CA"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55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fundacjagap.pl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gh.waw.pl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luxmed.pl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luxmed.pl/o-nas/dzialania-spoleczne/indeks-zdrowych-mias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89006-804B-4E6A-AD8B-E7F2A2F5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1784</Words>
  <Characters>10705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Irek Lipko</dc:creator>
  <dc:description/>
  <cp:lastModifiedBy>Galant Magdalena</cp:lastModifiedBy>
  <cp:revision>26</cp:revision>
  <cp:lastPrinted>2024-06-04T13:26:00Z</cp:lastPrinted>
  <dcterms:created xsi:type="dcterms:W3CDTF">2024-08-29T11:15:00Z</dcterms:created>
  <dcterms:modified xsi:type="dcterms:W3CDTF">2024-09-23T12:15:00Z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0x01010024F0BC9BBE39E24D9D175BE6CB55ECA5</vt:lpwstr>
  </property>
</Properties>
</file>