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BA9728" w14:textId="77777777" w:rsidR="00FF28B9" w:rsidRDefault="00000000">
      <w:pPr>
        <w:pStyle w:val="Default"/>
        <w:jc w:val="right"/>
      </w:pPr>
      <w:r>
        <w:t xml:space="preserve">Informacja prasowa                                                                                                                  </w:t>
      </w:r>
    </w:p>
    <w:p w14:paraId="4545ADD3" w14:textId="77CA5D67" w:rsidR="00FF28B9" w:rsidRDefault="00000000">
      <w:pPr>
        <w:tabs>
          <w:tab w:val="left" w:pos="4253"/>
        </w:tabs>
        <w:spacing w:before="100"/>
        <w:jc w:val="right"/>
      </w:pPr>
      <w:r>
        <w:rPr>
          <w:noProof/>
        </w:rPr>
        <w:drawing>
          <wp:anchor distT="0" distB="0" distL="0" distR="0" simplePos="0" relativeHeight="6" behindDoc="1" locked="0" layoutInCell="0" allowOverlap="1" wp14:anchorId="7A4CD58A" wp14:editId="70A902AB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59040" cy="11033760"/>
            <wp:effectExtent l="0" t="0" r="0" b="0"/>
            <wp:wrapNone/>
            <wp:docPr id="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103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2"/>
          <w:szCs w:val="22"/>
        </w:rPr>
        <w:t xml:space="preserve">Warszawa, </w:t>
      </w:r>
      <w:r w:rsidR="003F5F5C">
        <w:rPr>
          <w:rFonts w:ascii="Calibri" w:hAnsi="Calibri" w:cs="Calibri"/>
          <w:sz w:val="22"/>
          <w:szCs w:val="22"/>
        </w:rPr>
        <w:t>10 września</w:t>
      </w:r>
      <w:r>
        <w:rPr>
          <w:rFonts w:ascii="Calibri" w:hAnsi="Calibri" w:cs="Calibri"/>
          <w:sz w:val="22"/>
          <w:szCs w:val="22"/>
        </w:rPr>
        <w:t xml:space="preserve"> 2024 r.</w:t>
      </w:r>
    </w:p>
    <w:p w14:paraId="5248B71A" w14:textId="77777777" w:rsidR="00FF28B9" w:rsidRDefault="00FF28B9" w:rsidP="003F5F5C">
      <w:pPr>
        <w:pStyle w:val="Default"/>
        <w:jc w:val="center"/>
        <w:rPr>
          <w:b/>
          <w:bCs/>
          <w:color w:val="8EAADB"/>
          <w:sz w:val="28"/>
          <w:szCs w:val="28"/>
        </w:rPr>
      </w:pPr>
    </w:p>
    <w:p w14:paraId="4AA530B1" w14:textId="77777777" w:rsidR="00FF28B9" w:rsidRPr="003F5F5C" w:rsidRDefault="00FF28B9" w:rsidP="003F5F5C">
      <w:pPr>
        <w:widowControl/>
        <w:autoSpaceDE w:val="0"/>
        <w:jc w:val="center"/>
        <w:rPr>
          <w:rFonts w:ascii="Calibri" w:eastAsia="Times New Roman" w:hAnsi="Calibri" w:cs="Calibri"/>
          <w:b/>
          <w:bCs/>
          <w:color w:val="8EAADB"/>
          <w:kern w:val="0"/>
          <w:lang w:eastAsia="pl-PL" w:bidi="ar-SA"/>
        </w:rPr>
      </w:pPr>
    </w:p>
    <w:p w14:paraId="44E9DEAF" w14:textId="77777777" w:rsidR="003F5F5C" w:rsidRDefault="003F5F5C" w:rsidP="003F5F5C">
      <w:pPr>
        <w:widowControl/>
        <w:autoSpaceDE w:val="0"/>
        <w:jc w:val="center"/>
        <w:rPr>
          <w:rFonts w:ascii="Calibri" w:eastAsia="Times New Roman" w:hAnsi="Calibri" w:cs="Calibri"/>
          <w:b/>
          <w:bCs/>
          <w:color w:val="8EAADB"/>
          <w:kern w:val="0"/>
          <w:lang w:eastAsia="pl-PL" w:bidi="ar-SA"/>
        </w:rPr>
      </w:pPr>
      <w:r w:rsidRPr="003F5F5C">
        <w:rPr>
          <w:rFonts w:ascii="Calibri" w:eastAsia="Times New Roman" w:hAnsi="Calibri" w:cs="Calibri"/>
          <w:b/>
          <w:bCs/>
          <w:color w:val="8EAADB"/>
          <w:kern w:val="0"/>
          <w:lang w:eastAsia="pl-PL" w:bidi="ar-SA"/>
        </w:rPr>
        <w:t xml:space="preserve">Raport o zdrowiu psychicznym: czego mieszkańcy oczekują od miast? </w:t>
      </w:r>
    </w:p>
    <w:p w14:paraId="6BBABF01" w14:textId="13BFECBE" w:rsidR="003F5F5C" w:rsidRPr="003F5F5C" w:rsidRDefault="003F5F5C" w:rsidP="003F5F5C">
      <w:pPr>
        <w:widowControl/>
        <w:autoSpaceDE w:val="0"/>
        <w:jc w:val="center"/>
        <w:rPr>
          <w:rFonts w:ascii="Calibri" w:eastAsia="Times New Roman" w:hAnsi="Calibri" w:cs="Calibri"/>
          <w:b/>
          <w:bCs/>
          <w:color w:val="8EAADB"/>
          <w:kern w:val="0"/>
          <w:lang w:eastAsia="pl-PL" w:bidi="ar-SA"/>
        </w:rPr>
      </w:pPr>
      <w:r w:rsidRPr="003F5F5C">
        <w:rPr>
          <w:rFonts w:ascii="Calibri" w:eastAsia="Times New Roman" w:hAnsi="Calibri" w:cs="Calibri"/>
          <w:b/>
          <w:bCs/>
          <w:color w:val="8EAADB"/>
          <w:kern w:val="0"/>
          <w:lang w:eastAsia="pl-PL" w:bidi="ar-SA"/>
        </w:rPr>
        <w:t xml:space="preserve">Nowe badania Kantar i organizatorów </w:t>
      </w:r>
      <w:r>
        <w:rPr>
          <w:rFonts w:ascii="Calibri" w:eastAsia="Times New Roman" w:hAnsi="Calibri" w:cs="Calibri"/>
          <w:b/>
          <w:bCs/>
          <w:color w:val="8EAADB"/>
          <w:kern w:val="0"/>
          <w:lang w:eastAsia="pl-PL" w:bidi="ar-SA"/>
        </w:rPr>
        <w:t>K</w:t>
      </w:r>
      <w:r w:rsidRPr="003F5F5C">
        <w:rPr>
          <w:rFonts w:ascii="Calibri" w:eastAsia="Times New Roman" w:hAnsi="Calibri" w:cs="Calibri"/>
          <w:b/>
          <w:bCs/>
          <w:color w:val="8EAADB"/>
          <w:kern w:val="0"/>
          <w:lang w:eastAsia="pl-PL" w:bidi="ar-SA"/>
        </w:rPr>
        <w:t>ongresu Zdrowe Miasta</w:t>
      </w:r>
    </w:p>
    <w:p w14:paraId="763E71F6" w14:textId="77777777" w:rsidR="003F5F5C" w:rsidRPr="003F5F5C" w:rsidRDefault="003F5F5C" w:rsidP="003F5F5C">
      <w:pPr>
        <w:widowControl/>
        <w:autoSpaceDE w:val="0"/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</w:p>
    <w:p w14:paraId="54A6DA16" w14:textId="45073A57" w:rsidR="003F5F5C" w:rsidRPr="003F5F5C" w:rsidRDefault="003F5F5C" w:rsidP="003F5F5C">
      <w:pPr>
        <w:widowControl/>
        <w:autoSpaceDE w:val="0"/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 w:rsidRPr="003F5F5C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Czy miasta troszczą się o nasze zdrowie psychiczne tak, jak o ścieżki rowerowe czy edukację? 65% respondentów uważa dbanie o zdrowie psychiczne za ważny obowiązek miasta, jednak tylko co czwarta osoba </w:t>
      </w:r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twierdzi</w:t>
      </w:r>
      <w:r w:rsidRPr="003F5F5C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, że ich miasto rzeczywiście wywiązuje się z tego zadania – wynika z badania przeprowadzonego przez Kantar Polska na zlecenie Grupy LUX MED. Raport z badania „Dobrostan psychiczny a wybrana oferta miast” stanowi istotny krok w kierunku holistycznego podejścia do zdrowia, które integruje zarówno aspekty fizyczne, jak i psychiczne. </w:t>
      </w:r>
    </w:p>
    <w:p w14:paraId="2009513D" w14:textId="77777777" w:rsidR="003F5F5C" w:rsidRPr="003F5F5C" w:rsidRDefault="003F5F5C" w:rsidP="003F5F5C">
      <w:pPr>
        <w:widowControl/>
        <w:autoSpaceDE w:val="0"/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</w:p>
    <w:p w14:paraId="207E636F" w14:textId="0DF7088B" w:rsidR="003F5F5C" w:rsidRPr="003F5F5C" w:rsidRDefault="003F5F5C" w:rsidP="003F5F5C">
      <w:pPr>
        <w:widowControl/>
        <w:autoSpaceDE w:val="0"/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3F5F5C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W ostatnich latach zdrowie psychiczne stało się istotnym 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tematem</w:t>
      </w:r>
      <w:r w:rsidRPr="003F5F5C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w obszarze zdrowia publicznego. Na depresję choruje ok. 1,2 mln Polaków – co piąty dorosły i coraz więcej dzieci. Zgodnie z szacunkami Światowej Organizacji Zdrowia (WHO) do 2030 roku depresja będzie najczęstszą chorobą na świecie. Długotrwały stres oraz nieleczone problemy psychiczne wpływają negatywnie na zdrowie fizyczne i mogą prowadzić do przewlekłych schorzeń, takich jak nadciśnienie czy cukrzyca. W odpowiedzi na te wyzwania w ramach celów zrównoważonego rozwoju (SDG), ONZ postawiła 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na </w:t>
      </w:r>
      <w:r w:rsidRPr="003F5F5C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poprawę zdrowia psychicznego i zmniejszenia liczby samobójstw o jedną trzecią do 2030 roku. </w:t>
      </w:r>
    </w:p>
    <w:p w14:paraId="2BB95DBC" w14:textId="77777777" w:rsidR="003F5F5C" w:rsidRPr="003F5F5C" w:rsidRDefault="003F5F5C" w:rsidP="003F5F5C">
      <w:pPr>
        <w:widowControl/>
        <w:autoSpaceDE w:val="0"/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014DC8EC" w14:textId="77777777" w:rsidR="003F5F5C" w:rsidRPr="003F5F5C" w:rsidRDefault="003F5F5C" w:rsidP="003F5F5C">
      <w:pPr>
        <w:widowControl/>
        <w:autoSpaceDE w:val="0"/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 w:rsidRPr="003F5F5C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Kluczowe wnioski i metodyka </w:t>
      </w:r>
    </w:p>
    <w:p w14:paraId="6259968C" w14:textId="2E825234" w:rsidR="007D684E" w:rsidRDefault="003F5F5C" w:rsidP="007D684E">
      <w:pPr>
        <w:widowControl/>
        <w:autoSpaceDE w:val="0"/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3F5F5C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Badanie przeprowadzone w sierpniu 2024 r. przez Kantar Polska na zlecenie Grupy LUX MED objęło 1000 osób, czyli reprezentatywną próbę mieszkańców polskich miast i dotyczyło ich świadomości na temat oferty miejskiej w zakresie wsparcia zdrowia psychicznego. </w:t>
      </w:r>
      <w:bookmarkStart w:id="0" w:name="_Hlk176770359"/>
      <w:r w:rsidRPr="003F5F5C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Wyniki pokazują, że 65% respondentów uważa dbanie o zdrowie psychiczne za ważny obowiązek miasta, jednak tylko 24% sądzi, że ich miasto rzeczywiście wywiązuje się z tego zadania</w:t>
      </w:r>
      <w:bookmarkEnd w:id="0"/>
      <w:r w:rsidRPr="003F5F5C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. </w:t>
      </w:r>
      <w:r w:rsidR="00747E88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Ponadto </w:t>
      </w:r>
      <w:r w:rsidR="00747E88" w:rsidRPr="00747E88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38% ogółu (49% najstarszej grupy wiekowej) uważa, że miasto mogłoby wspierać osoby starsze przez różne inicjatywy, np. zajęcia sportowe, warsztaty przeznaczone specjalnie dla nich.</w:t>
      </w:r>
      <w:r w:rsidR="007D684E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  <w:r w:rsidR="007D684E" w:rsidRPr="00747E88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Samotność to jedna z głównych przyczyn złego stanu psychicznego dla 70% </w:t>
      </w:r>
      <w:r w:rsidR="007D684E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w grupie </w:t>
      </w:r>
      <w:proofErr w:type="spellStart"/>
      <w:r w:rsidR="007D684E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total</w:t>
      </w:r>
      <w:proofErr w:type="spellEnd"/>
      <w:r w:rsidR="007D684E" w:rsidRPr="00747E88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, </w:t>
      </w:r>
      <w:r w:rsidR="007D684E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a dla </w:t>
      </w:r>
      <w:r w:rsidR="007D684E" w:rsidRPr="00747E88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82%</w:t>
      </w:r>
      <w:r w:rsidR="007D684E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w</w:t>
      </w:r>
      <w:r w:rsidR="007D684E" w:rsidRPr="00747E88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najstarszej grup</w:t>
      </w:r>
      <w:r w:rsidR="008A1E7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ie</w:t>
      </w:r>
      <w:r w:rsidR="007D684E" w:rsidRPr="00747E88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wiekowej</w:t>
      </w:r>
      <w:r w:rsidR="007D684E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.</w:t>
      </w:r>
      <w:r w:rsidR="008A1E70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 </w:t>
      </w:r>
    </w:p>
    <w:p w14:paraId="4721B16E" w14:textId="21F16B94" w:rsidR="003F5F5C" w:rsidRDefault="003F5F5C" w:rsidP="003F5F5C">
      <w:pPr>
        <w:widowControl/>
        <w:autoSpaceDE w:val="0"/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72A0A9F4" w14:textId="77777777" w:rsidR="003F5F5C" w:rsidRPr="003F5F5C" w:rsidRDefault="003F5F5C" w:rsidP="003F5F5C">
      <w:pPr>
        <w:widowControl/>
        <w:autoSpaceDE w:val="0"/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 w:rsidRPr="003F5F5C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Zdrowie psychiczne na pierwszym planie: nowe wyzwania dla miast </w:t>
      </w:r>
    </w:p>
    <w:p w14:paraId="18A4E7D6" w14:textId="102974F1" w:rsidR="003F5F5C" w:rsidRPr="003F5F5C" w:rsidRDefault="003F5F5C" w:rsidP="003F5F5C">
      <w:pPr>
        <w:widowControl/>
        <w:autoSpaceDE w:val="0"/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3F5F5C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Jednym z wyzwań stojących przed polskimi miastami jest zdrowie psychiczne ich mieszkańców. Zgodnie z wynikami badania, problemy związane z dobrostanem psychicznym znajdują się na trzecim miejscu wśród najpilniejszych kwestii wymagających interwencji. Wyżej są tylko zagadnienia związane z zanieczyszczaniem powietrza i zmianami klimatu</w:t>
      </w:r>
      <w:r w:rsidR="007D684E">
        <w:rPr>
          <w:rStyle w:val="Odwoanieprzypisudolnego"/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footnoteReference w:id="1"/>
      </w:r>
      <w:r w:rsidRPr="003F5F5C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.  </w:t>
      </w:r>
    </w:p>
    <w:p w14:paraId="095EA954" w14:textId="77777777" w:rsidR="003F5F5C" w:rsidRPr="003F5F5C" w:rsidRDefault="003F5F5C" w:rsidP="003F5F5C">
      <w:pPr>
        <w:widowControl/>
        <w:autoSpaceDE w:val="0"/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0F92B1EB" w14:textId="254B3615" w:rsidR="003F5F5C" w:rsidRPr="003F5F5C" w:rsidRDefault="003F5F5C" w:rsidP="003F5F5C">
      <w:pPr>
        <w:widowControl/>
        <w:autoSpaceDE w:val="0"/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Czego mieszkańcy oczekują od miast</w:t>
      </w:r>
      <w:r w:rsidRPr="003F5F5C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? </w:t>
      </w:r>
    </w:p>
    <w:p w14:paraId="09C032E8" w14:textId="77777777" w:rsidR="003F5F5C" w:rsidRPr="003F5F5C" w:rsidRDefault="003F5F5C" w:rsidP="003F5F5C">
      <w:pPr>
        <w:widowControl/>
        <w:autoSpaceDE w:val="0"/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3F5F5C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Respondenci wyraźnie wskazują na potrzebę ogólnodostępnej psychoterapii, szybkiej pomocy psychologicznej oraz tworzenie zielonych przestrzeni, które sprzyjają relaksowi i zdrowiu psychicznemu. </w:t>
      </w:r>
      <w:r w:rsidRPr="003F5F5C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lastRenderedPageBreak/>
        <w:t>Szczególnie ważnym aspektem dla wielu z nich jest edukacja młodzieży w zakresie zdrowia psychicznego oraz organizacja grup wsparcia, które mogłyby realnie pomóc w codziennych trudnościach. Wszystkie te rozwiązania mogą mieć bezpośredni wpływ na poprawę jakości życia i zmniejszenie ryzyka przedwczesnej śmierci. </w:t>
      </w:r>
    </w:p>
    <w:p w14:paraId="2D6D9A0A" w14:textId="77777777" w:rsidR="003F5F5C" w:rsidRPr="003F5F5C" w:rsidRDefault="003F5F5C" w:rsidP="003F5F5C">
      <w:pPr>
        <w:widowControl/>
        <w:autoSpaceDE w:val="0"/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60BB4E78" w14:textId="63E2ADBF" w:rsidR="003F5F5C" w:rsidRPr="003F5F5C" w:rsidRDefault="003F5F5C" w:rsidP="003F5F5C">
      <w:pPr>
        <w:widowControl/>
        <w:autoSpaceDE w:val="0"/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3F5F5C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- Rzeczywistość stawia przed nami coraz większe wyzwania; to m.in. stres w życiu prywatnym i zawodowym, sytuacją gospodarcza, konflikty międzynarodowe, czy po prostu codzienna troska o zdrowie swoje i swoich najbliższych. Jako współorganizatorzy </w:t>
      </w: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K</w:t>
      </w:r>
      <w:r w:rsidRPr="003F5F5C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ongresu Zdrowe Miasta chcemy uwrażliwić opinię publiczną również na ten element. Wierzymy, że zdrowe miasto to również takie, które jest świadome potrzeb swoich mieszkańców w zakresie zdrowia psychicznego i potrafi je odpowiednio adresować – mówi </w:t>
      </w:r>
      <w:r w:rsidRPr="003F5F5C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 xml:space="preserve">Anna </w:t>
      </w:r>
      <w:proofErr w:type="spellStart"/>
      <w:r w:rsidRPr="003F5F5C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Rulkiewicz</w:t>
      </w:r>
      <w:proofErr w:type="spellEnd"/>
      <w:r w:rsidRPr="003F5F5C"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  <w:t>, członkini rady programowej kongresu Zdrowe Miasta i prezeska Grupy LUX MED.</w:t>
      </w:r>
    </w:p>
    <w:p w14:paraId="0CBE2D76" w14:textId="77777777" w:rsidR="003F5F5C" w:rsidRPr="003F5F5C" w:rsidRDefault="003F5F5C" w:rsidP="003F5F5C">
      <w:pPr>
        <w:widowControl/>
        <w:autoSpaceDE w:val="0"/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76E2AF80" w14:textId="77777777" w:rsidR="003F5F5C" w:rsidRPr="003F5F5C" w:rsidRDefault="003F5F5C" w:rsidP="003F5F5C">
      <w:pPr>
        <w:widowControl/>
        <w:autoSpaceDE w:val="0"/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3F5F5C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Raport „Dobrostan psychiczny a wybrana oferta miast” powstał z myślą o lepszym zrozumieniu potrzeb mieszkańców, a jego szczegółowe wyniki zostaną zaprezentowane podczas bloku tematycznego „Ludność i pokolenia” na Kongresie Zdrowe Miasta: Ludzie – Biznes – Środowisko. Premiera raportu odbędzie się 23 września, o godz. 13.00 w Auli Głównej Szkole Głównej Handlowej w Warszawie. </w:t>
      </w:r>
    </w:p>
    <w:p w14:paraId="7173C512" w14:textId="77777777" w:rsidR="003F5F5C" w:rsidRPr="003F5F5C" w:rsidRDefault="003F5F5C" w:rsidP="003F5F5C">
      <w:pPr>
        <w:widowControl/>
        <w:autoSpaceDE w:val="0"/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015C423F" w14:textId="77777777" w:rsidR="003F5F5C" w:rsidRDefault="003F5F5C" w:rsidP="003F5F5C">
      <w:pPr>
        <w:widowControl/>
        <w:autoSpaceDE w:val="0"/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 w:rsidRPr="003F5F5C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Obecnie na stronie </w:t>
      </w:r>
      <w:hyperlink r:id="rId8" w:history="1">
        <w:r w:rsidRPr="003F5F5C">
          <w:rPr>
            <w:rStyle w:val="Hipercze"/>
            <w:rFonts w:ascii="Calibri" w:eastAsia="Franklin Gothic Book" w:hAnsi="Calibri" w:cs="Calibri"/>
            <w:position w:val="9"/>
            <w:sz w:val="22"/>
            <w:szCs w:val="20"/>
            <w:lang w:eastAsia="ja-JP" w:bidi="ar-SA"/>
          </w:rPr>
          <w:t>www.zdrowemiasta.pl</w:t>
        </w:r>
      </w:hyperlink>
      <w:r w:rsidRPr="003F5F5C">
        <w:rPr>
          <w:rFonts w:ascii="Calibri" w:eastAsia="Franklin Gothic Book" w:hAnsi="Calibri" w:cs="Calibri"/>
          <w:color w:val="595959"/>
          <w:position w:val="9"/>
          <w:sz w:val="22"/>
          <w:szCs w:val="20"/>
          <w:u w:val="single"/>
          <w:lang w:eastAsia="ja-JP" w:bidi="ar-SA"/>
        </w:rPr>
        <w:t xml:space="preserve"> </w:t>
      </w:r>
      <w:r w:rsidRPr="003F5F5C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trwa bezpłatna rejestracja na wydarzenie. </w:t>
      </w:r>
    </w:p>
    <w:p w14:paraId="6D8A5B57" w14:textId="77777777" w:rsidR="00A033E6" w:rsidRDefault="00A033E6" w:rsidP="003F5F5C">
      <w:pPr>
        <w:widowControl/>
        <w:autoSpaceDE w:val="0"/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01DAEDD8" w14:textId="77777777" w:rsidR="00A033E6" w:rsidRDefault="00A033E6" w:rsidP="00A033E6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</w:p>
    <w:p w14:paraId="0930E6AD" w14:textId="6CFEB10B" w:rsidR="00A033E6" w:rsidRPr="00A033E6" w:rsidRDefault="00A033E6" w:rsidP="00A033E6">
      <w:pPr>
        <w:jc w:val="both"/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*</w:t>
      </w:r>
      <w:r w:rsidRPr="00A033E6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>Jeśli nie wskazano inaczej, wszystkie dane pochodzą z Raportu Kantar Polska „Świadomość oferty miast w dbaniu o dobrostan psychiczny mieszkańców”, CAWI, N=1000, Rep. próba mieszka</w:t>
      </w:r>
      <w:r w:rsidRPr="00A033E6">
        <w:rPr>
          <w:rFonts w:ascii="Calibri" w:eastAsia="Franklin Gothic Book" w:hAnsi="Calibri" w:cs="Calibri" w:hint="eastAsia"/>
          <w:color w:val="595959"/>
          <w:position w:val="9"/>
          <w:sz w:val="22"/>
          <w:szCs w:val="20"/>
          <w:lang w:eastAsia="ja-JP" w:bidi="ar-SA"/>
        </w:rPr>
        <w:t>ń</w:t>
      </w:r>
      <w:r w:rsidRPr="00A033E6">
        <w:rPr>
          <w:rFonts w:ascii="Calibri" w:eastAsia="Franklin Gothic Book" w:hAnsi="Calibri" w:cs="Calibri"/>
          <w:color w:val="595959"/>
          <w:position w:val="9"/>
          <w:sz w:val="22"/>
          <w:szCs w:val="20"/>
          <w:lang w:eastAsia="ja-JP" w:bidi="ar-SA"/>
        </w:rPr>
        <w:t xml:space="preserve">ców polskich miast, data realizacji: sierpień 2024 </w:t>
      </w:r>
    </w:p>
    <w:p w14:paraId="4B66245B" w14:textId="77777777" w:rsidR="003F5F5C" w:rsidRPr="003F5F5C" w:rsidRDefault="003F5F5C" w:rsidP="003F5F5C">
      <w:pPr>
        <w:widowControl/>
        <w:autoSpaceDE w:val="0"/>
        <w:jc w:val="both"/>
        <w:rPr>
          <w:rFonts w:ascii="Calibri" w:eastAsia="Franklin Gothic Book" w:hAnsi="Calibri" w:cs="Calibri"/>
          <w:b/>
          <w:bCs/>
          <w:color w:val="595959"/>
          <w:position w:val="9"/>
          <w:sz w:val="22"/>
          <w:szCs w:val="20"/>
          <w:lang w:eastAsia="ja-JP" w:bidi="ar-SA"/>
        </w:rPr>
      </w:pPr>
    </w:p>
    <w:p w14:paraId="581BB7D8" w14:textId="77777777" w:rsidR="00FF28B9" w:rsidRDefault="00FF28B9">
      <w:pPr>
        <w:rPr>
          <w:rFonts w:ascii="Calibri" w:eastAsia="Franklin Gothic Book" w:hAnsi="Calibri" w:cs="Calibri"/>
          <w:b/>
          <w:bCs/>
          <w:color w:val="595959"/>
          <w:position w:val="8"/>
          <w:sz w:val="16"/>
          <w:szCs w:val="16"/>
          <w:lang w:eastAsia="ja-JP" w:bidi="ar-SA"/>
        </w:rPr>
      </w:pPr>
    </w:p>
    <w:p w14:paraId="3A68C059" w14:textId="77777777" w:rsidR="00FF28B9" w:rsidRDefault="00000000">
      <w:pPr>
        <w:rPr>
          <w:rFonts w:ascii="Calibri" w:eastAsia="Franklin Gothic Book" w:hAnsi="Calibri" w:cs="Calibri"/>
          <w:b/>
          <w:bCs/>
          <w:color w:val="595959"/>
          <w:position w:val="8"/>
          <w:sz w:val="16"/>
          <w:szCs w:val="16"/>
          <w:lang w:eastAsia="ja-JP" w:bidi="ar-SA"/>
        </w:rPr>
      </w:pPr>
      <w:r>
        <w:rPr>
          <w:rFonts w:ascii="Calibri" w:eastAsia="Franklin Gothic Book" w:hAnsi="Calibri" w:cs="Calibri"/>
          <w:b/>
          <w:bCs/>
          <w:color w:val="595959"/>
          <w:position w:val="8"/>
          <w:sz w:val="16"/>
          <w:szCs w:val="16"/>
          <w:lang w:eastAsia="ja-JP" w:bidi="ar-SA"/>
        </w:rPr>
        <w:t>Więcej o Grupie LUX MED:</w:t>
      </w:r>
    </w:p>
    <w:p w14:paraId="5FA7D8DE" w14:textId="77777777" w:rsidR="00FF28B9" w:rsidRDefault="00FF28B9">
      <w:pPr>
        <w:jc w:val="both"/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</w:p>
    <w:p w14:paraId="348186F0" w14:textId="77777777" w:rsidR="003F5F5C" w:rsidRPr="003F5F5C" w:rsidRDefault="003F5F5C" w:rsidP="003F5F5C">
      <w:pPr>
        <w:jc w:val="both"/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  <w:r w:rsidRPr="003F5F5C"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Grupa LUX MED jest liderem rynku prywatnych usług zdrowotnych w Polsce i częścią </w:t>
      </w:r>
      <w:proofErr w:type="spellStart"/>
      <w:r w:rsidRPr="003F5F5C"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Bupa</w:t>
      </w:r>
      <w:proofErr w:type="spellEnd"/>
      <w:r w:rsidRPr="003F5F5C"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, która działa, jako ubezpieczyciel i świadczeniodawca usług medycznych na całym świecie. Firma świadczy swoje usługi w Polsce od ponad 30 lat. Grupa LUX MED zapewnia pełną opiekę: ambulatoryjną, diagnostyczną, rehabilitacyjną, stomatologiczną, psychologiczną, szpitalną i długoterminową dla ponad 3 000 000 pacjentów. Do ich dyspozycji jest ponad 300 ogólnodostępnych i przyzakładowych centrów medycznych, 16 szpitali oraz ok. 3 000 poradni partnerskich. Grupa LUX MED zatrudnia ponad 24 000 osób, w tym ponad 10 000 lekarzy i 8 000 wspierającego personelu medycznego, a w codziennej działalności, kieruje się zasadami zrównoważonego rozwoju, podejmując liczne inicjatywy z obszarów zaangażowania społecznego i środowiska. Grupa LUX MED jest Głównym Partnerem Medycznym Polskiego Komitetu Olimpijskiego i Głównym Partnerem Medycznym Polskiego Komitetu </w:t>
      </w:r>
      <w:proofErr w:type="spellStart"/>
      <w:r w:rsidRPr="003F5F5C"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Paralimpijskiego</w:t>
      </w:r>
      <w:proofErr w:type="spellEnd"/>
      <w:r w:rsidRPr="003F5F5C"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.</w:t>
      </w:r>
    </w:p>
    <w:p w14:paraId="0249F76E" w14:textId="77777777" w:rsidR="00FF28B9" w:rsidRDefault="00FF28B9">
      <w:pP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</w:p>
    <w:p w14:paraId="6AA5DD66" w14:textId="77777777" w:rsidR="00FF28B9" w:rsidRDefault="00000000"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Więcej informacji: </w:t>
      </w:r>
      <w:hyperlink r:id="rId9" w:tgtFrame="_top">
        <w:r>
          <w:rPr>
            <w:rStyle w:val="Hipercze"/>
            <w:rFonts w:ascii="Calibri" w:eastAsia="Franklin Gothic Book" w:hAnsi="Calibri" w:cs="Calibri"/>
            <w:color w:val="595959"/>
            <w:position w:val="8"/>
            <w:sz w:val="16"/>
            <w:szCs w:val="16"/>
            <w:lang w:eastAsia="ja-JP" w:bidi="ar-SA"/>
          </w:rPr>
          <w:t>www.luxmed.pl</w:t>
        </w:r>
      </w:hyperlink>
    </w:p>
    <w:p w14:paraId="782B72DC" w14:textId="77777777" w:rsidR="00FF28B9" w:rsidRDefault="00FF28B9">
      <w:pP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</w:p>
    <w:p w14:paraId="35E26CD7" w14:textId="77777777" w:rsidR="00FF28B9" w:rsidRDefault="00000000">
      <w:r>
        <w:rPr>
          <w:rFonts w:ascii="Calibri" w:eastAsia="Franklin Gothic Book" w:hAnsi="Calibri" w:cs="Calibri"/>
          <w:b/>
          <w:bCs/>
          <w:color w:val="595959"/>
          <w:position w:val="8"/>
          <w:sz w:val="16"/>
          <w:szCs w:val="16"/>
          <w:lang w:eastAsia="ja-JP" w:bidi="ar-SA"/>
        </w:rPr>
        <w:t>Więcej o Szkole Głównej Handlowej w Warszawie</w:t>
      </w:r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:</w:t>
      </w:r>
    </w:p>
    <w:p w14:paraId="4A7644F4" w14:textId="77777777" w:rsidR="00FF28B9" w:rsidRDefault="00FF28B9">
      <w:pP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</w:p>
    <w:p w14:paraId="36401E1B" w14:textId="77777777" w:rsidR="00FF28B9" w:rsidRDefault="00000000">
      <w:pPr>
        <w:jc w:val="both"/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Szkoła Główna Handlowa w Warszawie to innowacyjna uczelnia ekonomiczna kształcąca liderów życia gospodarczego i społecznego. Naukowcy SGH zgłębiają kluczowe dla współczesnego świata zagadnienia w taki sposób, aby zdobyć na ich temat wiedzę, z której da się wyprowadzić trafne wnioski i zaprojektować efektywne działania. Uczelnia jest znaczącym ośrodkiem badań naukowych, nowych idei i inicjatyw, kreowanych przez wspólnotę akademicką, absolwentów, a także przedstawicieli biznesu, organizacji społecznych i administracji publicznej. Realizuje badania i opracowuje ekspertyzy na zamówienia przedsiębiorstw, instytucji publicznych i jednostek samorządu terytorialnego. Jednym z elementów tej współpracy jest wzmacnianie potencjału SGH i wspólne dążenie do umacniania jej pozycji jako </w:t>
      </w:r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lastRenderedPageBreak/>
        <w:t>wiodącej uczelni ekonomiczno-biznesowej. SGH, niezależna i wrażliwa społecznie, rozwija obywatelskie oraz etyczne postawy poprzez swoją działalność dydaktyczną, badawczą i opiniotwórczą. Jej celem jest też kształcenie przyszłych liderów. Łącząc praktyczne doświadczenie z teorią, SGH zachęca swoich partnerów biznesowych do pokazywania studentom i studentkom, jak właściwie wykorzystać zdobytą wiedzę i umiejętności, aby przekuć je w sukces. Uczelnia oferuje studia licencjackie, magisterskie, doktoranckie, podyplomowe oraz MBA w języku angielskim.</w:t>
      </w:r>
    </w:p>
    <w:p w14:paraId="54CFC700" w14:textId="77777777" w:rsidR="00FF28B9" w:rsidRDefault="00FF28B9">
      <w:pP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</w:p>
    <w:p w14:paraId="421238FF" w14:textId="77777777" w:rsidR="00FF28B9" w:rsidRDefault="00000000"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Więcej informacji: </w:t>
      </w:r>
      <w:hyperlink r:id="rId10" w:tgtFrame="_top">
        <w:r>
          <w:rPr>
            <w:rStyle w:val="Hipercze"/>
            <w:rFonts w:ascii="Calibri" w:eastAsia="Franklin Gothic Book" w:hAnsi="Calibri" w:cs="Calibri"/>
            <w:color w:val="595959"/>
            <w:position w:val="8"/>
            <w:sz w:val="16"/>
            <w:szCs w:val="16"/>
            <w:lang w:eastAsia="ja-JP" w:bidi="ar-SA"/>
          </w:rPr>
          <w:t>www.sgh.waw.pl</w:t>
        </w:r>
      </w:hyperlink>
    </w:p>
    <w:p w14:paraId="50215AFD" w14:textId="77777777" w:rsidR="00FF28B9" w:rsidRDefault="00FF28B9">
      <w:pPr>
        <w:rPr>
          <w:rFonts w:ascii="Calibri" w:eastAsia="Franklin Gothic Book" w:hAnsi="Calibri" w:cs="Calibri"/>
          <w:b/>
          <w:bCs/>
          <w:color w:val="595959"/>
          <w:position w:val="8"/>
          <w:sz w:val="16"/>
          <w:szCs w:val="16"/>
          <w:lang w:eastAsia="ja-JP" w:bidi="ar-SA"/>
        </w:rPr>
      </w:pPr>
    </w:p>
    <w:p w14:paraId="2AAC7946" w14:textId="77777777" w:rsidR="00FF28B9" w:rsidRDefault="00000000">
      <w:pPr>
        <w:rPr>
          <w:rFonts w:ascii="Calibri" w:eastAsia="Franklin Gothic Book" w:hAnsi="Calibri" w:cs="Calibri"/>
          <w:b/>
          <w:bCs/>
          <w:color w:val="595959"/>
          <w:position w:val="8"/>
          <w:sz w:val="16"/>
          <w:szCs w:val="16"/>
          <w:lang w:eastAsia="ja-JP" w:bidi="ar-SA"/>
        </w:rPr>
      </w:pPr>
      <w:r>
        <w:rPr>
          <w:rFonts w:ascii="Calibri" w:eastAsia="Franklin Gothic Book" w:hAnsi="Calibri" w:cs="Calibri"/>
          <w:b/>
          <w:bCs/>
          <w:color w:val="595959"/>
          <w:position w:val="8"/>
          <w:sz w:val="16"/>
          <w:szCs w:val="16"/>
          <w:lang w:eastAsia="ja-JP" w:bidi="ar-SA"/>
        </w:rPr>
        <w:t>Więcej o Fundacji GAP:</w:t>
      </w:r>
    </w:p>
    <w:p w14:paraId="35B53258" w14:textId="77777777" w:rsidR="00FF28B9" w:rsidRDefault="00FF28B9">
      <w:pPr>
        <w:jc w:val="both"/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</w:p>
    <w:p w14:paraId="0359317D" w14:textId="77777777" w:rsidR="00FF28B9" w:rsidRDefault="00000000">
      <w:pPr>
        <w:jc w:val="both"/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</w:pPr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Fundacja Gospodarki i Administracji Publicznej jest jedną z najdynamiczniej rozwijających się organizacji pozarządowych w Małopolsce. Została powołana w 2005 roku przez grono pracowników Uniwersytetu Ekonomicznego w Krakowie. Fundacji przyświeca misja rozwijania ekonomii wartości oraz upowszechnianie rozwiązań na niej bazujących w działaniach i debacie publicznej. Misja ta realizowana jest w szczególności poprzez tworzenie ośrodka analiz – </w:t>
      </w:r>
      <w:proofErr w:type="spellStart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think</w:t>
      </w:r>
      <w:proofErr w:type="spellEnd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 tanku OEES HUB, organizację wydarzeń kreujących rozwiązania odpowiedzialnego rozwoju a także prowadzone doradztwo rozwojowe dla MŚP i </w:t>
      </w:r>
      <w:proofErr w:type="spellStart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NGOsów</w:t>
      </w:r>
      <w:proofErr w:type="spellEnd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. Fundacja GAP jest inicjatorem i organizatorem Kongresu Open </w:t>
      </w:r>
      <w:proofErr w:type="spellStart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Eyes</w:t>
      </w:r>
      <w:proofErr w:type="spellEnd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 </w:t>
      </w:r>
      <w:proofErr w:type="spellStart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Economy</w:t>
      </w:r>
      <w:proofErr w:type="spellEnd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 </w:t>
      </w:r>
      <w:proofErr w:type="spellStart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Summit</w:t>
      </w:r>
      <w:proofErr w:type="spellEnd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, którego 7. edycja będzie mieć miejsce w dniach 22-23 listopada 2022 w Krakowie, a także: Kongresu Solidarni w Rozwoju w Gdańsku, Kongresu Regeneracja Miast w Łodzi oraz Kongresu Miasto-Woda-Jakość Życia we Wrocławiu, w ramach którego współtworzy i wydaje ranking oceniający rozwój miast w Polsce pod względem efektywności gospodarowania zasobami wody – </w:t>
      </w:r>
      <w:proofErr w:type="spellStart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>Water</w:t>
      </w:r>
      <w:proofErr w:type="spellEnd"/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 City Index.</w:t>
      </w:r>
    </w:p>
    <w:p w14:paraId="0FCC41E2" w14:textId="77777777" w:rsidR="00FF28B9" w:rsidRDefault="00000000">
      <w:pPr>
        <w:tabs>
          <w:tab w:val="left" w:pos="4253"/>
        </w:tabs>
        <w:spacing w:before="100"/>
      </w:pPr>
      <w:r>
        <w:rPr>
          <w:rFonts w:ascii="Calibri" w:eastAsia="Franklin Gothic Book" w:hAnsi="Calibri" w:cs="Calibri"/>
          <w:color w:val="595959"/>
          <w:position w:val="8"/>
          <w:sz w:val="16"/>
          <w:szCs w:val="16"/>
          <w:lang w:eastAsia="ja-JP" w:bidi="ar-SA"/>
        </w:rPr>
        <w:t xml:space="preserve">Więcej informacji: </w:t>
      </w:r>
      <w:hyperlink r:id="rId11" w:tgtFrame="_top">
        <w:r>
          <w:rPr>
            <w:rStyle w:val="Hipercze"/>
            <w:rFonts w:ascii="Calibri" w:eastAsia="Franklin Gothic Book" w:hAnsi="Calibri" w:cs="Calibri"/>
            <w:color w:val="595959"/>
            <w:position w:val="8"/>
            <w:sz w:val="16"/>
            <w:szCs w:val="16"/>
            <w:lang w:eastAsia="ja-JP" w:bidi="ar-SA"/>
          </w:rPr>
          <w:t>www.fundacjagap.pl</w:t>
        </w:r>
      </w:hyperlink>
    </w:p>
    <w:p w14:paraId="2A083ACB" w14:textId="77777777" w:rsidR="00FF28B9" w:rsidRDefault="00000000">
      <w:pPr>
        <w:ind w:left="426" w:right="283" w:firstLine="28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</w:t>
      </w:r>
    </w:p>
    <w:p w14:paraId="18C4405C" w14:textId="77777777" w:rsidR="00FF28B9" w:rsidRDefault="00FF28B9">
      <w:pPr>
        <w:ind w:left="426" w:right="283"/>
        <w:jc w:val="both"/>
        <w:rPr>
          <w:rFonts w:ascii="Calibri" w:hAnsi="Calibri" w:cs="Calibri"/>
          <w:sz w:val="22"/>
          <w:szCs w:val="22"/>
        </w:rPr>
      </w:pPr>
    </w:p>
    <w:p w14:paraId="3BE5CF41" w14:textId="77777777" w:rsidR="00FF28B9" w:rsidRDefault="00FF28B9">
      <w:pPr>
        <w:rPr>
          <w:rFonts w:ascii="Calibri" w:hAnsi="Calibri" w:cs="Calibri"/>
          <w:color w:val="FF0000"/>
          <w:sz w:val="22"/>
          <w:szCs w:val="22"/>
        </w:rPr>
      </w:pPr>
    </w:p>
    <w:sectPr w:rsidR="00FF28B9">
      <w:headerReference w:type="default" r:id="rId12"/>
      <w:pgSz w:w="11906" w:h="16838"/>
      <w:pgMar w:top="1417" w:right="1417" w:bottom="1417" w:left="1417" w:header="227" w:footer="57" w:gutter="0"/>
      <w:cols w:space="708"/>
      <w:formProt w:val="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FE5BB9" w14:textId="77777777" w:rsidR="008549AE" w:rsidRDefault="008549AE">
      <w:r>
        <w:separator/>
      </w:r>
    </w:p>
  </w:endnote>
  <w:endnote w:type="continuationSeparator" w:id="0">
    <w:p w14:paraId="69BA1AA2" w14:textId="77777777" w:rsidR="008549AE" w:rsidRDefault="008549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Josefin Sans">
    <w:charset w:val="EE"/>
    <w:family w:val="auto"/>
    <w:pitch w:val="variable"/>
    <w:sig w:usb0="A00000FF" w:usb1="4000204B" w:usb2="00000000" w:usb3="00000000" w:csb0="00000193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ulish">
    <w:altName w:val="Calibri"/>
    <w:charset w:val="EE"/>
    <w:family w:val="auto"/>
    <w:pitch w:val="variable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1640D1" w14:textId="77777777" w:rsidR="008549AE" w:rsidRDefault="008549AE">
      <w:r>
        <w:separator/>
      </w:r>
    </w:p>
  </w:footnote>
  <w:footnote w:type="continuationSeparator" w:id="0">
    <w:p w14:paraId="617DE24B" w14:textId="77777777" w:rsidR="008549AE" w:rsidRDefault="008549AE">
      <w:r>
        <w:continuationSeparator/>
      </w:r>
    </w:p>
  </w:footnote>
  <w:footnote w:id="1">
    <w:p w14:paraId="2177F015" w14:textId="6441B572" w:rsidR="007D684E" w:rsidRDefault="007D684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475F3">
        <w:t xml:space="preserve">Kantar </w:t>
      </w:r>
      <w:proofErr w:type="spellStart"/>
      <w:r w:rsidRPr="00B475F3">
        <w:t>Sustainability</w:t>
      </w:r>
      <w:proofErr w:type="spellEnd"/>
      <w:r w:rsidRPr="00B475F3">
        <w:t xml:space="preserve"> </w:t>
      </w:r>
      <w:proofErr w:type="spellStart"/>
      <w:r w:rsidRPr="00B475F3">
        <w:t>Sector</w:t>
      </w:r>
      <w:proofErr w:type="spellEnd"/>
      <w:r w:rsidRPr="00B475F3">
        <w:t xml:space="preserve"> Index 2023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57B709" w14:textId="49518CEA" w:rsidR="00FF28B9" w:rsidRDefault="00803D0F">
    <w:pPr>
      <w:pStyle w:val="Nagwek"/>
    </w:pPr>
    <w:r>
      <w:rPr>
        <w:noProof/>
      </w:rPr>
      <w:drawing>
        <wp:anchor distT="0" distB="0" distL="0" distR="0" simplePos="0" relativeHeight="5" behindDoc="1" locked="0" layoutInCell="0" allowOverlap="1" wp14:anchorId="7D25E12C" wp14:editId="6B9F4FE7">
          <wp:simplePos x="0" y="0"/>
          <wp:positionH relativeFrom="page">
            <wp:align>left</wp:align>
          </wp:positionH>
          <wp:positionV relativeFrom="margin">
            <wp:posOffset>-1825625</wp:posOffset>
          </wp:positionV>
          <wp:extent cx="7597140" cy="11089640"/>
          <wp:effectExtent l="0" t="0" r="3810" b="0"/>
          <wp:wrapNone/>
          <wp:docPr id="2" name="Obraz 1590321400" descr="Obraz zawierający tekst, zrzut ekranu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590321400" descr="Obraz zawierający tekst, zrzut ekranu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97140" cy="110896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615B6A6" w14:textId="77777777" w:rsidR="00FF28B9" w:rsidRDefault="00FF28B9">
    <w:pPr>
      <w:pStyle w:val="Nagwek"/>
    </w:pPr>
  </w:p>
  <w:p w14:paraId="6A0CEB19" w14:textId="77777777" w:rsidR="00FF28B9" w:rsidRDefault="00FF28B9">
    <w:pPr>
      <w:pStyle w:val="Nagwek"/>
    </w:pPr>
  </w:p>
  <w:p w14:paraId="0CA41466" w14:textId="77777777" w:rsidR="00FF28B9" w:rsidRDefault="00FF28B9">
    <w:pPr>
      <w:pStyle w:val="Nagwek"/>
    </w:pPr>
  </w:p>
  <w:p w14:paraId="0DAF3944" w14:textId="77777777" w:rsidR="00FF28B9" w:rsidRDefault="00FF28B9">
    <w:pPr>
      <w:pStyle w:val="Nagwek"/>
    </w:pPr>
  </w:p>
  <w:p w14:paraId="16349FA0" w14:textId="77777777" w:rsidR="00FF28B9" w:rsidRDefault="00FF28B9">
    <w:pPr>
      <w:pStyle w:val="Nagwek"/>
    </w:pPr>
  </w:p>
  <w:p w14:paraId="7BDC8042" w14:textId="77777777" w:rsidR="00FF28B9" w:rsidRDefault="00FF28B9">
    <w:pPr>
      <w:pStyle w:val="Nagwek"/>
    </w:pPr>
  </w:p>
  <w:p w14:paraId="55315A96" w14:textId="77777777" w:rsidR="00FF28B9" w:rsidRDefault="00000000">
    <w:pPr>
      <w:pStyle w:val="Nagwek"/>
      <w:tabs>
        <w:tab w:val="left" w:pos="5860"/>
      </w:tabs>
    </w:pPr>
    <w:r>
      <w:tab/>
    </w:r>
  </w:p>
  <w:p w14:paraId="616D1B02" w14:textId="77777777" w:rsidR="00FF28B9" w:rsidRDefault="00FF28B9">
    <w:pPr>
      <w:pStyle w:val="Nagwek"/>
    </w:pPr>
  </w:p>
  <w:p w14:paraId="31B218DC" w14:textId="027E7B6C" w:rsidR="00FF28B9" w:rsidRDefault="00FF28B9">
    <w:pPr>
      <w:pStyle w:val="Nagwek"/>
      <w:rPr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8B9"/>
    <w:rsid w:val="000F4CAD"/>
    <w:rsid w:val="001A341A"/>
    <w:rsid w:val="001E19FE"/>
    <w:rsid w:val="001F33C9"/>
    <w:rsid w:val="00210797"/>
    <w:rsid w:val="00242AE9"/>
    <w:rsid w:val="002F65BD"/>
    <w:rsid w:val="002F681C"/>
    <w:rsid w:val="00322755"/>
    <w:rsid w:val="00355772"/>
    <w:rsid w:val="003F5F5C"/>
    <w:rsid w:val="00445F08"/>
    <w:rsid w:val="004F6995"/>
    <w:rsid w:val="00557CE0"/>
    <w:rsid w:val="006478BA"/>
    <w:rsid w:val="006C6B6A"/>
    <w:rsid w:val="00747E88"/>
    <w:rsid w:val="00754ABB"/>
    <w:rsid w:val="007C41F8"/>
    <w:rsid w:val="007D684E"/>
    <w:rsid w:val="00803D0F"/>
    <w:rsid w:val="0082142B"/>
    <w:rsid w:val="008375B7"/>
    <w:rsid w:val="008549AE"/>
    <w:rsid w:val="00890A45"/>
    <w:rsid w:val="008A1E70"/>
    <w:rsid w:val="00936D56"/>
    <w:rsid w:val="009868D8"/>
    <w:rsid w:val="00A033E6"/>
    <w:rsid w:val="00A11358"/>
    <w:rsid w:val="00B948B2"/>
    <w:rsid w:val="00C349B6"/>
    <w:rsid w:val="00C4509C"/>
    <w:rsid w:val="00CA4818"/>
    <w:rsid w:val="00CB4F6D"/>
    <w:rsid w:val="00CF240A"/>
    <w:rsid w:val="00CF3F41"/>
    <w:rsid w:val="00D7024C"/>
    <w:rsid w:val="00D70CD5"/>
    <w:rsid w:val="00EF3B44"/>
    <w:rsid w:val="00F02B23"/>
    <w:rsid w:val="00FF2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7C5765"/>
  <w15:docId w15:val="{AA405473-12B5-4BB6-9681-8FEA76A29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</w:pPr>
    <w:rPr>
      <w:rFonts w:ascii="Josefin Sans" w:eastAsia="Arial Unicode MS" w:hAnsi="Josefin Sans" w:cs="Arial Unicode MS"/>
      <w:kern w:val="2"/>
      <w:sz w:val="24"/>
      <w:szCs w:val="24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  <w:qFormat/>
  </w:style>
  <w:style w:type="character" w:customStyle="1" w:styleId="NagwekZnak">
    <w:name w:val="Nagłówek Znak"/>
    <w:qFormat/>
    <w:rPr>
      <w:rFonts w:eastAsia="Arial Unicode MS" w:cs="Mangal"/>
      <w:kern w:val="2"/>
      <w:sz w:val="24"/>
      <w:szCs w:val="21"/>
      <w:lang w:eastAsia="hi-IN" w:bidi="hi-IN"/>
    </w:rPr>
  </w:style>
  <w:style w:type="character" w:customStyle="1" w:styleId="StopkaZnak">
    <w:name w:val="Stopka Znak"/>
    <w:qFormat/>
    <w:rPr>
      <w:rFonts w:eastAsia="Arial Unicode MS" w:cs="Mangal"/>
      <w:kern w:val="2"/>
      <w:sz w:val="24"/>
      <w:szCs w:val="21"/>
      <w:lang w:eastAsia="hi-IN" w:bidi="hi-IN"/>
    </w:rPr>
  </w:style>
  <w:style w:type="character" w:styleId="Hipercze">
    <w:name w:val="Hyperlink"/>
    <w:rPr>
      <w:color w:val="000080"/>
      <w:u w:val="single"/>
    </w:rPr>
  </w:style>
  <w:style w:type="character" w:customStyle="1" w:styleId="TekstprzypisukocowegoZnak">
    <w:name w:val="Tekst przypisu końcowego Znak"/>
    <w:basedOn w:val="Domylnaczcionkaakapitu"/>
    <w:qFormat/>
    <w:rPr>
      <w:rFonts w:ascii="Josefin Sans" w:eastAsia="Arial Unicode MS" w:hAnsi="Josefin Sans" w:cs="Mangal"/>
      <w:kern w:val="2"/>
      <w:szCs w:val="18"/>
      <w:lang w:eastAsia="hi-IN" w:bidi="hi-IN"/>
    </w:rPr>
  </w:style>
  <w:style w:type="character" w:styleId="Odwoanieprzypisukocowego">
    <w:name w:val="endnote reference"/>
    <w:basedOn w:val="Domylnaczcionkaakapitu"/>
    <w:rPr>
      <w:vertAlign w:val="superscript"/>
    </w:rPr>
  </w:style>
  <w:style w:type="character" w:styleId="Nierozpoznanawzmianka">
    <w:name w:val="Unresolved Mention"/>
    <w:basedOn w:val="Domylnaczcionkaakapitu"/>
    <w:qFormat/>
    <w:rPr>
      <w:color w:val="605E5C"/>
      <w:shd w:val="clear" w:color="auto" w:fill="E1DFDD"/>
    </w:rPr>
  </w:style>
  <w:style w:type="character" w:customStyle="1" w:styleId="WWCharLFO1LVL1">
    <w:name w:val="WW_CharLFO1LVL1"/>
    <w:qFormat/>
    <w:rPr>
      <w:rFonts w:ascii="Symbol" w:hAnsi="Symbol"/>
    </w:rPr>
  </w:style>
  <w:style w:type="character" w:customStyle="1" w:styleId="WWCharLFO1LVL2">
    <w:name w:val="WW_CharLFO1LVL2"/>
    <w:qFormat/>
    <w:rPr>
      <w:rFonts w:ascii="Courier New" w:hAnsi="Courier New" w:cs="Courier New"/>
    </w:rPr>
  </w:style>
  <w:style w:type="character" w:customStyle="1" w:styleId="WWCharLFO1LVL3">
    <w:name w:val="WW_CharLFO1LVL3"/>
    <w:qFormat/>
    <w:rPr>
      <w:rFonts w:ascii="Wingdings" w:hAnsi="Wingdings"/>
    </w:rPr>
  </w:style>
  <w:style w:type="character" w:customStyle="1" w:styleId="WWCharLFO1LVL4">
    <w:name w:val="WW_CharLFO1LVL4"/>
    <w:qFormat/>
    <w:rPr>
      <w:rFonts w:ascii="Symbol" w:hAnsi="Symbol"/>
    </w:rPr>
  </w:style>
  <w:style w:type="character" w:customStyle="1" w:styleId="WWCharLFO1LVL5">
    <w:name w:val="WW_CharLFO1LVL5"/>
    <w:qFormat/>
    <w:rPr>
      <w:rFonts w:ascii="Courier New" w:hAnsi="Courier New" w:cs="Courier New"/>
    </w:rPr>
  </w:style>
  <w:style w:type="character" w:customStyle="1" w:styleId="WWCharLFO1LVL6">
    <w:name w:val="WW_CharLFO1LVL6"/>
    <w:qFormat/>
    <w:rPr>
      <w:rFonts w:ascii="Wingdings" w:hAnsi="Wingdings"/>
    </w:rPr>
  </w:style>
  <w:style w:type="character" w:customStyle="1" w:styleId="WWCharLFO1LVL7">
    <w:name w:val="WW_CharLFO1LVL7"/>
    <w:qFormat/>
    <w:rPr>
      <w:rFonts w:ascii="Symbol" w:hAnsi="Symbol"/>
    </w:rPr>
  </w:style>
  <w:style w:type="character" w:customStyle="1" w:styleId="WWCharLFO1LVL8">
    <w:name w:val="WW_CharLFO1LVL8"/>
    <w:qFormat/>
    <w:rPr>
      <w:rFonts w:ascii="Courier New" w:hAnsi="Courier New" w:cs="Courier New"/>
    </w:rPr>
  </w:style>
  <w:style w:type="character" w:customStyle="1" w:styleId="WWCharLFO1LVL9">
    <w:name w:val="WW_CharLFO1LVL9"/>
    <w:qFormat/>
    <w:rPr>
      <w:rFonts w:ascii="Wingdings" w:hAnsi="Wingdings"/>
    </w:rPr>
  </w:style>
  <w:style w:type="character" w:customStyle="1" w:styleId="WWCharLFO2LVL1">
    <w:name w:val="WW_CharLFO2LVL1"/>
    <w:qFormat/>
    <w:rPr>
      <w:rFonts w:ascii="Symbol" w:hAnsi="Symbol"/>
    </w:rPr>
  </w:style>
  <w:style w:type="character" w:customStyle="1" w:styleId="WWCharLFO2LVL2">
    <w:name w:val="WW_CharLFO2LVL2"/>
    <w:qFormat/>
    <w:rPr>
      <w:rFonts w:ascii="Courier New" w:hAnsi="Courier New" w:cs="Courier New"/>
    </w:rPr>
  </w:style>
  <w:style w:type="character" w:customStyle="1" w:styleId="WWCharLFO2LVL3">
    <w:name w:val="WW_CharLFO2LVL3"/>
    <w:qFormat/>
    <w:rPr>
      <w:rFonts w:ascii="Wingdings" w:hAnsi="Wingdings"/>
    </w:rPr>
  </w:style>
  <w:style w:type="character" w:customStyle="1" w:styleId="WWCharLFO2LVL4">
    <w:name w:val="WW_CharLFO2LVL4"/>
    <w:qFormat/>
    <w:rPr>
      <w:rFonts w:ascii="Symbol" w:hAnsi="Symbol"/>
    </w:rPr>
  </w:style>
  <w:style w:type="character" w:customStyle="1" w:styleId="WWCharLFO2LVL5">
    <w:name w:val="WW_CharLFO2LVL5"/>
    <w:qFormat/>
    <w:rPr>
      <w:rFonts w:ascii="Courier New" w:hAnsi="Courier New" w:cs="Courier New"/>
    </w:rPr>
  </w:style>
  <w:style w:type="character" w:customStyle="1" w:styleId="WWCharLFO2LVL6">
    <w:name w:val="WW_CharLFO2LVL6"/>
    <w:qFormat/>
    <w:rPr>
      <w:rFonts w:ascii="Wingdings" w:hAnsi="Wingdings"/>
    </w:rPr>
  </w:style>
  <w:style w:type="character" w:customStyle="1" w:styleId="WWCharLFO2LVL7">
    <w:name w:val="WW_CharLFO2LVL7"/>
    <w:qFormat/>
    <w:rPr>
      <w:rFonts w:ascii="Symbol" w:hAnsi="Symbol"/>
    </w:rPr>
  </w:style>
  <w:style w:type="character" w:customStyle="1" w:styleId="WWCharLFO2LVL8">
    <w:name w:val="WW_CharLFO2LVL8"/>
    <w:qFormat/>
    <w:rPr>
      <w:rFonts w:ascii="Courier New" w:hAnsi="Courier New" w:cs="Courier New"/>
    </w:rPr>
  </w:style>
  <w:style w:type="character" w:customStyle="1" w:styleId="WWCharLFO2LVL9">
    <w:name w:val="WW_CharLFO2LVL9"/>
    <w:qFormat/>
    <w:rPr>
      <w:rFonts w:ascii="Wingdings" w:hAnsi="Wingdings"/>
    </w:rPr>
  </w:style>
  <w:style w:type="character" w:customStyle="1" w:styleId="Zakotwiczenieprzypisukocowego">
    <w:name w:val="Zakotwiczenie przypisu końcowego"/>
    <w:qFormat/>
    <w:rPr>
      <w:vertAlign w:val="superscript"/>
    </w:rPr>
  </w:style>
  <w:style w:type="character" w:customStyle="1" w:styleId="Znakiprzypiswkocowych">
    <w:name w:val="Znaki przypisów końcowych"/>
    <w:qFormat/>
  </w:style>
  <w:style w:type="paragraph" w:customStyle="1" w:styleId="Nagwek2">
    <w:name w:val="Nagłówek2"/>
    <w:basedOn w:val="Normalny"/>
    <w:next w:val="Tekstpodstawowy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</w:style>
  <w:style w:type="paragraph" w:customStyle="1" w:styleId="Podpis2">
    <w:name w:val="Podpis2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</w:style>
  <w:style w:type="paragraph" w:customStyle="1" w:styleId="Nagwek1">
    <w:name w:val="Nagłówek1"/>
    <w:basedOn w:val="Normalny"/>
    <w:next w:val="Tekstpodstawowy"/>
    <w:qFormat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Podpis1">
    <w:name w:val="Podpis1"/>
    <w:basedOn w:val="Normalny"/>
    <w:qFormat/>
    <w:pPr>
      <w:suppressLineNumbers/>
      <w:spacing w:before="120" w:after="120"/>
    </w:pPr>
    <w:rPr>
      <w:i/>
      <w:iCs/>
    </w:rPr>
  </w:style>
  <w:style w:type="paragraph" w:styleId="Nagwek">
    <w:name w:val="header"/>
    <w:basedOn w:val="Gwkaistopka"/>
  </w:style>
  <w:style w:type="paragraph" w:customStyle="1" w:styleId="Gwkaistopka">
    <w:name w:val="Główka i stopka"/>
    <w:basedOn w:val="Normalny"/>
    <w:qFormat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Default">
    <w:name w:val="Default"/>
    <w:qFormat/>
    <w:pPr>
      <w:suppressAutoHyphens/>
      <w:autoSpaceDE w:val="0"/>
    </w:pPr>
    <w:rPr>
      <w:rFonts w:ascii="Calibri" w:hAnsi="Calibri" w:cs="Calibri"/>
      <w:color w:val="000000"/>
      <w:sz w:val="24"/>
      <w:szCs w:val="24"/>
    </w:rPr>
  </w:style>
  <w:style w:type="paragraph" w:styleId="Bezodstpw">
    <w:name w:val="No Spacing"/>
    <w:autoRedefine/>
    <w:qFormat/>
    <w:pPr>
      <w:suppressAutoHyphens/>
      <w:ind w:right="720"/>
      <w:jc w:val="right"/>
    </w:pPr>
    <w:rPr>
      <w:rFonts w:ascii="Mulish" w:eastAsia="Franklin Gothic Book" w:hAnsi="Mulish"/>
      <w:color w:val="595959"/>
      <w:kern w:val="2"/>
      <w:sz w:val="22"/>
      <w:vertAlign w:val="superscript"/>
      <w:lang w:eastAsia="ja-JP"/>
    </w:rPr>
  </w:style>
  <w:style w:type="paragraph" w:styleId="Akapitzlist">
    <w:name w:val="List Paragraph"/>
    <w:basedOn w:val="Normalny"/>
    <w:qFormat/>
    <w:pPr>
      <w:widowControl/>
      <w:spacing w:before="160" w:after="480" w:line="360" w:lineRule="auto"/>
      <w:ind w:right="720"/>
      <w:contextualSpacing/>
    </w:pPr>
    <w:rPr>
      <w:rFonts w:ascii="Calibri" w:eastAsia="SimSun" w:hAnsi="Calibri" w:cs="Franklin Gothic Book"/>
      <w:b/>
      <w:bCs/>
      <w:color w:val="000000"/>
      <w:kern w:val="0"/>
      <w:lang w:eastAsia="pl-PL" w:bidi="ar-SA"/>
    </w:rPr>
  </w:style>
  <w:style w:type="paragraph" w:styleId="Poprawka">
    <w:name w:val="Revision"/>
    <w:qFormat/>
    <w:pPr>
      <w:suppressAutoHyphens/>
    </w:pPr>
    <w:rPr>
      <w:rFonts w:ascii="Josefin Sans" w:eastAsia="Arial Unicode MS" w:hAnsi="Josefin Sans" w:cs="Mangal"/>
      <w:kern w:val="2"/>
      <w:sz w:val="24"/>
      <w:szCs w:val="21"/>
      <w:lang w:eastAsia="hi-IN" w:bidi="hi-IN"/>
    </w:rPr>
  </w:style>
  <w:style w:type="paragraph" w:styleId="Tekstprzypisukocowego">
    <w:name w:val="endnote text"/>
    <w:basedOn w:val="Normalny"/>
    <w:qFormat/>
    <w:rPr>
      <w:rFonts w:cs="Mangal"/>
      <w:sz w:val="20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13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11358"/>
    <w:rPr>
      <w:rFonts w:cs="Mangal"/>
      <w:sz w:val="20"/>
      <w:szCs w:val="18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11358"/>
    <w:rPr>
      <w:rFonts w:ascii="Josefin Sans" w:eastAsia="Arial Unicode MS" w:hAnsi="Josefin Sans" w:cs="Mangal"/>
      <w:kern w:val="2"/>
      <w:szCs w:val="18"/>
      <w:lang w:eastAsia="hi-IN" w:bidi="hi-I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113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11358"/>
    <w:rPr>
      <w:rFonts w:ascii="Josefin Sans" w:eastAsia="Arial Unicode MS" w:hAnsi="Josefin Sans" w:cs="Mangal"/>
      <w:b/>
      <w:bCs/>
      <w:kern w:val="2"/>
      <w:szCs w:val="18"/>
      <w:lang w:eastAsia="hi-IN" w:bidi="hi-I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D684E"/>
    <w:rPr>
      <w:rFonts w:cs="Mangal"/>
      <w:sz w:val="20"/>
      <w:szCs w:val="18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D684E"/>
    <w:rPr>
      <w:rFonts w:ascii="Josefin Sans" w:eastAsia="Arial Unicode MS" w:hAnsi="Josefin Sans" w:cs="Mangal"/>
      <w:kern w:val="2"/>
      <w:szCs w:val="18"/>
      <w:lang w:eastAsia="hi-IN" w:bidi="hi-IN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D684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0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drowemiasta.pl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fundacjagap.pl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sgh.waw.p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uxmed.pl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089006-804B-4E6A-AD8B-E7F2A2F5A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1179</Words>
  <Characters>7078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Irek Lipko</dc:creator>
  <dc:description/>
  <cp:lastModifiedBy>Galant Magdalena</cp:lastModifiedBy>
  <cp:revision>9</cp:revision>
  <cp:lastPrinted>2024-06-04T13:26:00Z</cp:lastPrinted>
  <dcterms:created xsi:type="dcterms:W3CDTF">2024-09-09T10:28:00Z</dcterms:created>
  <dcterms:modified xsi:type="dcterms:W3CDTF">2024-09-10T12:47:00Z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0x01010024F0BC9BBE39E24D9D175BE6CB55ECA5</vt:lpwstr>
  </property>
</Properties>
</file>