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BA9728" w14:textId="77777777" w:rsidR="00FF28B9" w:rsidRDefault="00000000">
      <w:pPr>
        <w:pStyle w:val="Default"/>
        <w:jc w:val="right"/>
      </w:pPr>
      <w:r>
        <w:t xml:space="preserve">Informacja prasowa                                                                                                                  </w:t>
      </w:r>
    </w:p>
    <w:p w14:paraId="4545ADD3" w14:textId="48C68F98" w:rsidR="00FF28B9" w:rsidRDefault="00000000">
      <w:pPr>
        <w:tabs>
          <w:tab w:val="left" w:pos="4253"/>
        </w:tabs>
        <w:spacing w:before="100"/>
        <w:jc w:val="right"/>
      </w:pPr>
      <w:r>
        <w:rPr>
          <w:noProof/>
        </w:rPr>
        <w:drawing>
          <wp:anchor distT="0" distB="0" distL="0" distR="0" simplePos="0" relativeHeight="6" behindDoc="1" locked="0" layoutInCell="0" allowOverlap="1" wp14:anchorId="7A4CD58A" wp14:editId="70A902AB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59040" cy="11033760"/>
            <wp:effectExtent l="0" t="0" r="0" b="0"/>
            <wp:wrapNone/>
            <wp:docPr id="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103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2"/>
          <w:szCs w:val="22"/>
        </w:rPr>
        <w:t xml:space="preserve">Warszawa, </w:t>
      </w:r>
      <w:r w:rsidR="00C349B6">
        <w:rPr>
          <w:rFonts w:ascii="Calibri" w:hAnsi="Calibri" w:cs="Calibri"/>
          <w:sz w:val="22"/>
          <w:szCs w:val="22"/>
        </w:rPr>
        <w:t>30</w:t>
      </w:r>
      <w:r>
        <w:rPr>
          <w:rFonts w:ascii="Calibri" w:hAnsi="Calibri" w:cs="Calibri"/>
          <w:sz w:val="22"/>
          <w:szCs w:val="22"/>
        </w:rPr>
        <w:t xml:space="preserve"> </w:t>
      </w:r>
      <w:r w:rsidR="00C349B6">
        <w:rPr>
          <w:rFonts w:ascii="Calibri" w:hAnsi="Calibri" w:cs="Calibri"/>
          <w:sz w:val="22"/>
          <w:szCs w:val="22"/>
        </w:rPr>
        <w:t>sierpnia</w:t>
      </w:r>
      <w:r>
        <w:rPr>
          <w:rFonts w:ascii="Calibri" w:hAnsi="Calibri" w:cs="Calibri"/>
          <w:sz w:val="22"/>
          <w:szCs w:val="22"/>
        </w:rPr>
        <w:t xml:space="preserve"> 2024 r.</w:t>
      </w:r>
    </w:p>
    <w:p w14:paraId="1D2A5EC2" w14:textId="77777777" w:rsidR="00FF28B9" w:rsidRDefault="00FF28B9">
      <w:pPr>
        <w:pStyle w:val="Default"/>
        <w:rPr>
          <w:sz w:val="28"/>
          <w:szCs w:val="28"/>
        </w:rPr>
      </w:pPr>
    </w:p>
    <w:p w14:paraId="7D81E98D" w14:textId="77777777" w:rsidR="00FF28B9" w:rsidRDefault="00FF28B9">
      <w:pPr>
        <w:pStyle w:val="Default"/>
        <w:rPr>
          <w:sz w:val="28"/>
          <w:szCs w:val="28"/>
        </w:rPr>
      </w:pPr>
    </w:p>
    <w:p w14:paraId="7BE9C573" w14:textId="77777777" w:rsidR="00FF28B9" w:rsidRDefault="00000000">
      <w:pPr>
        <w:pStyle w:val="Default"/>
        <w:jc w:val="center"/>
        <w:rPr>
          <w:b/>
          <w:bCs/>
          <w:color w:val="8EAADB"/>
        </w:rPr>
      </w:pPr>
      <w:r>
        <w:rPr>
          <w:b/>
          <w:bCs/>
          <w:color w:val="8EAADB"/>
        </w:rPr>
        <w:t>Wieloaspektowość w zarządzaniu polskimi miastami – znamy tematykę paneli podczas Kongresu Zdrowe Miasta: Ludzie – Biznes – Środowisko</w:t>
      </w:r>
    </w:p>
    <w:p w14:paraId="5248B71A" w14:textId="77777777" w:rsidR="00FF28B9" w:rsidRDefault="00FF28B9">
      <w:pPr>
        <w:pStyle w:val="Default"/>
        <w:jc w:val="center"/>
        <w:rPr>
          <w:b/>
          <w:bCs/>
          <w:color w:val="8EAADB"/>
          <w:sz w:val="28"/>
          <w:szCs w:val="28"/>
        </w:rPr>
      </w:pPr>
    </w:p>
    <w:p w14:paraId="4AA530B1" w14:textId="77777777" w:rsidR="00FF28B9" w:rsidRDefault="00FF28B9">
      <w:pPr>
        <w:widowControl/>
        <w:autoSpaceDE w:val="0"/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3E49E4BF" w14:textId="5B82E254" w:rsidR="00FF28B9" w:rsidRDefault="00000000">
      <w:pPr>
        <w:widowControl/>
        <w:autoSpaceDE w:val="0"/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Środowisko, Zdrowie, Ludność i Pokolenia, Usługi Miejskie, Mieszkalnictwo, Przestrzeń, Infrastruktura oraz Edukacja to 8 bloków tematycznych, na których opiera się Kongres Zdrowe Miasta</w:t>
      </w:r>
      <w:r w:rsidR="004F6995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: Ludzie – Biznes – Środowisko</w:t>
      </w:r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. Wydarzenie odbędzie się 23-24 września 2024 r. w Szkole Głównej Handlowej w Warszawie. Organizatorzy przedstawili </w:t>
      </w:r>
      <w:r w:rsidR="004F6995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już </w:t>
      </w:r>
      <w:hyperlink r:id="rId8" w:history="1"/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szczegółowy program Kongresu. Patron</w:t>
      </w:r>
      <w:r w:rsidR="004F6995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atów</w:t>
      </w:r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Honorow</w:t>
      </w:r>
      <w:r w:rsidR="004F6995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ych nad wydarzeniem udzielili</w:t>
      </w:r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m.in. Minister Zdrowia, </w:t>
      </w:r>
      <w:r w:rsidR="004F6995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Minister Przemysłu, </w:t>
      </w:r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Ministerstwo Sportu i Turystyki</w:t>
      </w:r>
      <w:r w:rsidR="004F6995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, </w:t>
      </w:r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Ministerstwo Klimatu i Środowiska</w:t>
      </w:r>
      <w:r w:rsidR="004F6995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oraz Ministerstwo Rozwoju i Technologii</w:t>
      </w:r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. </w:t>
      </w:r>
      <w:r w:rsidR="004F6995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Obecnie trwa bezpłatna rejestracja na www.zdrowemiasta.pl. </w:t>
      </w:r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</w:t>
      </w:r>
    </w:p>
    <w:p w14:paraId="33D94330" w14:textId="77777777" w:rsidR="00FF28B9" w:rsidRDefault="00FF28B9">
      <w:pPr>
        <w:widowControl/>
        <w:autoSpaceDE w:val="0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30F34D13" w14:textId="77777777" w:rsidR="00FF28B9" w:rsidRDefault="00000000">
      <w:pPr>
        <w:widowControl/>
        <w:autoSpaceDE w:val="0"/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Kongres Zdrowe Miasta wyrasta z projektu Indeks Zdrowych Miast — inicjatywy zainaugurowanej w 2022 roku przez Grupę LUX MED i realizowanej wspólnie z naukowcami Szkoły Głównej Handlowej w Warszawie i Fundacji Gospodarki i Administracji Publicznej. Jest to raport na temat zdrowia polskich miasta, którego dwie edycje cieszyły się dużym zainteresowaniem zarówno włodarzy, jak i mieszkańców. Naturalnym rozwinięciem tego projektu jest wrześniowe wydarzenie, będące platformą dyskusji, wymiany myśli, doświadczeń i poglądów przedstawicieli samorządów, biznesu i organizacji miejskich. </w:t>
      </w:r>
    </w:p>
    <w:p w14:paraId="00E09411" w14:textId="77777777" w:rsidR="00FF28B9" w:rsidRDefault="00FF28B9">
      <w:pPr>
        <w:widowControl/>
        <w:autoSpaceDE w:val="0"/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429D1290" w14:textId="77777777" w:rsidR="00FF28B9" w:rsidRDefault="00000000">
      <w:pPr>
        <w:widowControl/>
        <w:autoSpaceDE w:val="0"/>
        <w:jc w:val="both"/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Program kongresu, który znaleźć można na stronie: </w:t>
      </w:r>
      <w:hyperlink r:id="rId9" w:tgtFrame="_top">
        <w:r>
          <w:rPr>
            <w:rStyle w:val="Hipercze"/>
            <w:rFonts w:ascii="Calibri" w:eastAsia="Franklin Gothic Book" w:hAnsi="Calibri" w:cs="Calibri"/>
            <w:position w:val="9"/>
            <w:sz w:val="22"/>
            <w:szCs w:val="20"/>
            <w:lang w:eastAsia="ja-JP" w:bidi="ar-SA"/>
          </w:rPr>
          <w:t>www.zdrowemiasta.pl</w:t>
        </w:r>
      </w:hyperlink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podzielony został na osiem bloków tematycznych opartych na Indeksie: Środowisko, Zdrowie, Ludność i Pokolenia, Usługi Miejskie, Mieszkalnictwo, Przestrzeń, Infrastruktura oraz Edukacja. Każdy z paneli będzie się koncentrował na najważniejszych wyzwaniach i szansach stojących przed współczesnymi miastami we wskazanych obszarach. </w:t>
      </w:r>
    </w:p>
    <w:p w14:paraId="1EDDF59C" w14:textId="77777777" w:rsidR="00FF28B9" w:rsidRDefault="00FF28B9">
      <w:pPr>
        <w:widowControl/>
        <w:autoSpaceDE w:val="0"/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442411B3" w14:textId="77777777" w:rsidR="00FF28B9" w:rsidRDefault="00000000">
      <w:pPr>
        <w:widowControl/>
        <w:autoSpaceDE w:val="0"/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Oficjalne otwarcie kongresu nastąpi w obecności dr Anny </w:t>
      </w:r>
      <w:proofErr w:type="spellStart"/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Rulkiewicz</w:t>
      </w:r>
      <w:proofErr w:type="spellEnd"/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, Prezeski Zarządu Grupy LUX MED, prof. SGH Piotra Wachowiaka, Rektora Szkoły Głównej Handlowej w Warszawie oraz prof. Jerzego Hausnera, Przewodniczącego Rady Programowej OEES i założyciela Fundacji GAP.</w:t>
      </w:r>
    </w:p>
    <w:p w14:paraId="36C7EA6D" w14:textId="77777777" w:rsidR="00FF28B9" w:rsidRDefault="00000000">
      <w:pPr>
        <w:widowControl/>
        <w:tabs>
          <w:tab w:val="left" w:pos="2940"/>
        </w:tabs>
        <w:autoSpaceDE w:val="0"/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ab/>
      </w:r>
    </w:p>
    <w:p w14:paraId="2E792EBE" w14:textId="77777777" w:rsidR="00FF28B9" w:rsidRDefault="00000000">
      <w:pPr>
        <w:widowControl/>
        <w:autoSpaceDE w:val="0"/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Rozmowy o przyszłości polskich miast</w:t>
      </w:r>
    </w:p>
    <w:p w14:paraId="7A02EC03" w14:textId="77777777" w:rsidR="00FF28B9" w:rsidRDefault="00FF28B9">
      <w:pPr>
        <w:widowControl/>
        <w:autoSpaceDE w:val="0"/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</w:p>
    <w:p w14:paraId="5D2529BF" w14:textId="119D0715" w:rsidR="00FF28B9" w:rsidRDefault="00000000">
      <w:pPr>
        <w:widowControl/>
        <w:autoSpaceDE w:val="0"/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W dalszej części dnia odbędą się inspirujące sesje i panele dyskusyjne. Blok „Środowisko” poświęcony będzie m.in. adaptacji miast do zmian klimatycznych, zanieczyszczeniu światłem w naszym kraju oraz zrównoważonemu rozwojowi firm. W trakcie dyskusji omówione zostaną tematy takie jak niebiesko-zielone miasta przyszłości oraz raportowanie emisji i działania na rzecz dekarbonizacji. Rozmowy dotyczące obszaru „Zdrowie” skupią się na innowacjach w opiece zdrowotnej oraz zdrowiu publicznym. Eksperci będą debatować na temat przyszłości mieszkańców w kontekście postępu technologicznego 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lastRenderedPageBreak/>
        <w:t xml:space="preserve">oraz dobrostanu pracowników. „Ludność i Pokolenia” to panele, które poruszą problemy demograficzne, takie jak tworzenie przyjaznych przestrzeni dla różnych grup wiekowych. Uczestnicy będą mieli okazję omówić ryzyka związane z urbanizacją oraz integracją międzypokoleniową. Dowiemy się jak zatrzymać wyludnianie w Polsce, a także dla kogo tworzone są współczesne polskie miasta. Kolejne bloki tematyczne to „Usługi Miejskie”, „Mieszkalnictwo”, „Przestrzeń” oraz „Infrastruktura”. Dyskusje obejmą tematy od roli biznesu w rozwoju społecznym, przez cyfrową transformację miast, aż po przyszłość motoryzacji i zielonych innowacji. Eksperci podejmą temat </w:t>
      </w:r>
      <w:proofErr w:type="spellStart"/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zeroemisyjności</w:t>
      </w:r>
      <w:proofErr w:type="spellEnd"/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, biznesu i jego roli w dbaniu o rozwój społeczny i podzielą się sposobami na finansowanie ekologicznych działań. W obszarze „Edukacja”, prelegenci skupią się na innowacyjnych metodach nauczania, które przygotują przyszłe pokolenia do życia w zrównoważonych miastach.</w:t>
      </w:r>
      <w:r w:rsidR="004F6995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Blok ten otworzy wystąpienie Pani Minister Barbary Nowackiej. </w:t>
      </w:r>
    </w:p>
    <w:p w14:paraId="2DE1FAF4" w14:textId="77777777" w:rsidR="00FF28B9" w:rsidRDefault="00FF28B9">
      <w:pPr>
        <w:widowControl/>
        <w:autoSpaceDE w:val="0"/>
        <w:jc w:val="both"/>
        <w:rPr>
          <w:rFonts w:ascii="Calibri" w:eastAsia="Franklin Gothic Book" w:hAnsi="Calibri" w:cs="Calibri"/>
          <w:b/>
          <w:bCs/>
          <w:color w:val="595959"/>
          <w:position w:val="8"/>
          <w:sz w:val="22"/>
          <w:szCs w:val="22"/>
          <w:lang w:eastAsia="ja-JP" w:bidi="ar-SA"/>
        </w:rPr>
      </w:pPr>
    </w:p>
    <w:p w14:paraId="516526D3" w14:textId="53D94434" w:rsidR="00FF28B9" w:rsidRDefault="00000000">
      <w:pPr>
        <w:widowControl/>
        <w:jc w:val="both"/>
        <w:rPr>
          <w:rFonts w:ascii="Calibri" w:eastAsia="Franklin Gothic Book" w:hAnsi="Calibri" w:cs="Calibri"/>
          <w:b/>
          <w:bCs/>
          <w:color w:val="000000"/>
          <w:sz w:val="22"/>
          <w:szCs w:val="22"/>
          <w:lang w:eastAsia="ja-JP" w:bidi="ar-SA"/>
        </w:rPr>
      </w:pPr>
      <w:r>
        <w:rPr>
          <w:rFonts w:ascii="Calibri" w:eastAsia="Franklin Gothic Book" w:hAnsi="Calibri" w:cs="Calibri"/>
          <w:b/>
          <w:bCs/>
          <w:color w:val="000000"/>
          <w:sz w:val="22"/>
          <w:szCs w:val="22"/>
          <w:lang w:eastAsia="ja-JP" w:bidi="ar-SA"/>
        </w:rPr>
        <w:t xml:space="preserve">Różnorodność głosów i poglądów </w:t>
      </w:r>
      <w:r w:rsidR="004F6995">
        <w:rPr>
          <w:rFonts w:ascii="Calibri" w:eastAsia="Franklin Gothic Book" w:hAnsi="Calibri" w:cs="Calibri"/>
          <w:b/>
          <w:bCs/>
          <w:color w:val="000000"/>
          <w:sz w:val="22"/>
          <w:szCs w:val="22"/>
          <w:lang w:eastAsia="ja-JP" w:bidi="ar-SA"/>
        </w:rPr>
        <w:t>–</w:t>
      </w:r>
      <w:r>
        <w:rPr>
          <w:rFonts w:ascii="Calibri" w:eastAsia="Franklin Gothic Book" w:hAnsi="Calibri" w:cs="Calibri"/>
          <w:b/>
          <w:bCs/>
          <w:color w:val="000000"/>
          <w:sz w:val="22"/>
          <w:szCs w:val="22"/>
          <w:lang w:eastAsia="ja-JP" w:bidi="ar-SA"/>
        </w:rPr>
        <w:t xml:space="preserve"> ponad 50 prelegentów</w:t>
      </w:r>
    </w:p>
    <w:p w14:paraId="308F51BB" w14:textId="77777777" w:rsidR="00FF28B9" w:rsidRDefault="00FF28B9">
      <w:pPr>
        <w:widowControl/>
        <w:jc w:val="both"/>
        <w:rPr>
          <w:rFonts w:ascii="Calibri" w:eastAsia="Franklin Gothic Book" w:hAnsi="Calibri" w:cs="Calibri"/>
          <w:b/>
          <w:bCs/>
          <w:color w:val="000000"/>
          <w:sz w:val="22"/>
          <w:szCs w:val="22"/>
          <w:lang w:eastAsia="ja-JP" w:bidi="ar-SA"/>
        </w:rPr>
      </w:pPr>
    </w:p>
    <w:p w14:paraId="6BA5CC55" w14:textId="11D5DCE2" w:rsidR="0082142B" w:rsidRDefault="00000000">
      <w:pPr>
        <w:widowControl/>
        <w:spacing w:line="256" w:lineRule="auto"/>
        <w:jc w:val="both"/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</w:pPr>
      <w:r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>Podczas Kongresu swoją wiedzą podzielą się wybitni specjaliści z różnych dziedzin</w:t>
      </w:r>
      <w:r w:rsidR="004F6995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>. N</w:t>
      </w:r>
      <w:r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 xml:space="preserve">ie zabraknie również samorządowców i przedstawicieli organizacji pozarządowych. </w:t>
      </w:r>
      <w:r w:rsidRPr="004F6995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 xml:space="preserve">Wśród ekspertów znajdą się m.in. </w:t>
      </w:r>
      <w:r w:rsidR="0082142B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 xml:space="preserve">Dominika </w:t>
      </w:r>
      <w:proofErr w:type="spellStart"/>
      <w:r w:rsidR="0082142B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>Bettman</w:t>
      </w:r>
      <w:proofErr w:type="spellEnd"/>
      <w:r w:rsidR="0082142B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 xml:space="preserve"> – Dyrektor Generalna Microsoft Polska, Joanna </w:t>
      </w:r>
      <w:proofErr w:type="spellStart"/>
      <w:r w:rsidR="0082142B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>Przetakiewicz</w:t>
      </w:r>
      <w:proofErr w:type="spellEnd"/>
      <w:r w:rsidR="0082142B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 xml:space="preserve"> – projektantka mody i przedsiębiorczyni, Natalia </w:t>
      </w:r>
      <w:proofErr w:type="spellStart"/>
      <w:r w:rsidR="0082142B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>Hatalska</w:t>
      </w:r>
      <w:proofErr w:type="spellEnd"/>
      <w:r w:rsidR="0082142B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 xml:space="preserve"> – </w:t>
      </w:r>
      <w:r w:rsidR="00C349B6" w:rsidRPr="00C349B6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 xml:space="preserve">CEO i założycielka instytutu badań nad przyszłością </w:t>
      </w:r>
      <w:proofErr w:type="spellStart"/>
      <w:r w:rsidR="00C349B6" w:rsidRPr="00C349B6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>infuture.institute</w:t>
      </w:r>
      <w:proofErr w:type="spellEnd"/>
      <w:r w:rsidR="0082142B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 xml:space="preserve">. Uczestnicy tegorocznego Kongresu będą mieli również okazję przysłuchiwać się rozmowie 1:1, w której swoje poglądy zderzą ze sobą Piotr </w:t>
      </w:r>
      <w:proofErr w:type="spellStart"/>
      <w:r w:rsidR="0082142B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>Voelkel</w:t>
      </w:r>
      <w:proofErr w:type="spellEnd"/>
      <w:r w:rsidR="0082142B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 xml:space="preserve"> – założyciel Fundacji </w:t>
      </w:r>
      <w:proofErr w:type="spellStart"/>
      <w:r w:rsidR="0082142B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>Vox</w:t>
      </w:r>
      <w:proofErr w:type="spellEnd"/>
      <w:r w:rsidR="0082142B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 xml:space="preserve"> Artis oraz Henryka Bochniarz – ekonomistka i polityczka, Przewodnicząca Rady Głównej Konfederacji Lewiatan.</w:t>
      </w:r>
      <w:r w:rsidR="00CA4818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 xml:space="preserve"> Ponadto przedstawiciele firm zasiądą wraz z ekspertami i reprezentantami władz samorządowych do Okrągłego Stołu. W tym gronie pochylą się nad wypracowaniem wiarygodnej i transparentnej metodologii, dzięki której będzie możliwa ocena polskich przedsiębiorstw pod kątem ich wpływu na zdrowie pracowników i środowisko naturalne. W posiedzeniu Okrągłego Stołu wezmą udział</w:t>
      </w:r>
      <w:r w:rsidR="00C349B6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 xml:space="preserve"> m.in.</w:t>
      </w:r>
      <w:r w:rsidR="00CA4818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 xml:space="preserve"> </w:t>
      </w:r>
      <w:r w:rsidR="000F4CAD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 xml:space="preserve">Ireneusz </w:t>
      </w:r>
      <w:proofErr w:type="spellStart"/>
      <w:r w:rsidR="000F4CAD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>Fąfara</w:t>
      </w:r>
      <w:proofErr w:type="spellEnd"/>
      <w:r w:rsidR="000F4CAD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 xml:space="preserve"> </w:t>
      </w:r>
      <w:r w:rsidR="00C349B6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>–</w:t>
      </w:r>
      <w:r w:rsidR="000F4CAD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 xml:space="preserve"> </w:t>
      </w:r>
      <w:r w:rsidR="00CA4818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>Prezes Zarządu ORLEN S.A.</w:t>
      </w:r>
      <w:r w:rsidR="000F4CAD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 xml:space="preserve">, Andrzej </w:t>
      </w:r>
      <w:proofErr w:type="spellStart"/>
      <w:r w:rsidR="000F4CAD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>Blike</w:t>
      </w:r>
      <w:proofErr w:type="spellEnd"/>
      <w:r w:rsidR="000F4CAD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 xml:space="preserve"> z Instytutu Podstaw Informatyki PAN, </w:t>
      </w:r>
      <w:proofErr w:type="spellStart"/>
      <w:r w:rsidR="000F4CAD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>czł</w:t>
      </w:r>
      <w:proofErr w:type="spellEnd"/>
      <w:r w:rsidR="000F4CAD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 xml:space="preserve">. Europejskiej Akademii Nauk, Piotr Wachowiak – Rektor Szkoły Głównej Handlowej w Warszawie, Anna </w:t>
      </w:r>
      <w:proofErr w:type="spellStart"/>
      <w:r w:rsidR="000F4CAD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>Rulkiewicz</w:t>
      </w:r>
      <w:proofErr w:type="spellEnd"/>
      <w:r w:rsidR="000F4CAD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 xml:space="preserve"> – Preze</w:t>
      </w:r>
      <w:r w:rsidR="00C349B6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>s</w:t>
      </w:r>
      <w:r w:rsidR="000F4CAD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>ka Zarządu, Grupa LUX MED i  Agata Prorok – Starsza Kierowniczka ds. Relacji Zewnętrznych Fun</w:t>
      </w:r>
      <w:r w:rsidR="00C349B6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>d</w:t>
      </w:r>
      <w:r w:rsidR="000F4CAD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>acji NUTRICIA.</w:t>
      </w:r>
    </w:p>
    <w:p w14:paraId="2BA7BEEA" w14:textId="77777777" w:rsidR="00FF28B9" w:rsidRDefault="00FF28B9">
      <w:pPr>
        <w:widowControl/>
        <w:autoSpaceDE w:val="0"/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5D53F39E" w14:textId="77777777" w:rsidR="00FF28B9" w:rsidRDefault="00000000">
      <w:pPr>
        <w:widowControl/>
        <w:autoSpaceDE w:val="0"/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Poznamy najzdrowsze polskie miasto </w:t>
      </w:r>
    </w:p>
    <w:p w14:paraId="78B5E1B7" w14:textId="77777777" w:rsidR="00FF28B9" w:rsidRDefault="00FF28B9">
      <w:pPr>
        <w:widowControl/>
        <w:autoSpaceDE w:val="0"/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</w:p>
    <w:p w14:paraId="74A12A34" w14:textId="77777777" w:rsidR="00FF28B9" w:rsidRDefault="00000000">
      <w:pPr>
        <w:widowControl/>
        <w:autoSpaceDE w:val="0"/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Najbardziej wyczekiwanym punktem programu będzie wieczorna gala. Na koniec dnia, 23 września, nastąpi bowiem ogłoszenie wyników trzeciej edycji Indeksu Zdrowych Miast, a wyróżnienia zostaną przekazane na ręce prezydentów.</w:t>
      </w:r>
    </w:p>
    <w:p w14:paraId="08C6A918" w14:textId="77777777" w:rsidR="00FF28B9" w:rsidRDefault="00FF28B9">
      <w:pPr>
        <w:widowControl/>
        <w:spacing w:line="256" w:lineRule="auto"/>
        <w:jc w:val="both"/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</w:pPr>
    </w:p>
    <w:p w14:paraId="4851AD99" w14:textId="46354254" w:rsidR="00FF28B9" w:rsidRDefault="00000000">
      <w:pPr>
        <w:widowControl/>
        <w:spacing w:line="256" w:lineRule="auto"/>
        <w:jc w:val="both"/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</w:pPr>
      <w:r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 xml:space="preserve">Tegoroczny Kongres patronatem honorowym objęło pięć resortów, w tym Minister Zdrowia, Minister Przemysłu, Ministerstwo Klimatu i Środowiska, Ministerstwo Rozwoju i Technologii oraz Ministerstwo Sportu i Turystyki. Z kolei patronami merytorycznymi Kongresu </w:t>
      </w:r>
      <w:r w:rsidR="004F6995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>zostały następujące instytucje</w:t>
      </w:r>
      <w:r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 xml:space="preserve">: Forum Odpowiedzialnego Biznesu, UNEP/GRID - Warszawa, UN Global Compact, Konfederacja Lewiatan, Pracodawcy dla Zdrowia oraz Polski Alarm Smogowy. Patronatem medialnym wydarzenie objęli: </w:t>
      </w:r>
      <w:proofErr w:type="spellStart"/>
      <w:r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>Medonet</w:t>
      </w:r>
      <w:proofErr w:type="spellEnd"/>
      <w:r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 xml:space="preserve">, Business </w:t>
      </w:r>
      <w:proofErr w:type="spellStart"/>
      <w:r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>Insider</w:t>
      </w:r>
      <w:proofErr w:type="spellEnd"/>
      <w:r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>, Forbes, Dziennika Gazeta Prawna</w:t>
      </w:r>
      <w:r w:rsidR="004F6995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 xml:space="preserve">, </w:t>
      </w:r>
      <w:r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>Radio 357</w:t>
      </w:r>
      <w:r w:rsidR="004F6995"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>, TVN24</w:t>
      </w:r>
      <w:r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  <w:t>.</w:t>
      </w:r>
    </w:p>
    <w:p w14:paraId="1262A6F0" w14:textId="77777777" w:rsidR="004F6995" w:rsidRDefault="004F6995">
      <w:pPr>
        <w:widowControl/>
        <w:spacing w:line="256" w:lineRule="auto"/>
        <w:jc w:val="both"/>
        <w:rPr>
          <w:rFonts w:ascii="Calibri" w:eastAsia="Franklin Gothic Book" w:hAnsi="Calibri" w:cs="Calibri"/>
          <w:color w:val="595959"/>
          <w:sz w:val="22"/>
          <w:szCs w:val="22"/>
          <w:lang w:eastAsia="ja-JP" w:bidi="ar-SA"/>
        </w:rPr>
      </w:pPr>
    </w:p>
    <w:p w14:paraId="007DA30C" w14:textId="77777777" w:rsidR="00FF28B9" w:rsidRDefault="00000000">
      <w:pPr>
        <w:widowControl/>
        <w:autoSpaceDE w:val="0"/>
        <w:jc w:val="both"/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lastRenderedPageBreak/>
        <w:t xml:space="preserve">Więcej informacji na temat Kongresu i formularz rejestracyjny dostępne są na stronie: </w:t>
      </w:r>
      <w:hyperlink r:id="rId10" w:tgtFrame="_top">
        <w:r>
          <w:rPr>
            <w:rStyle w:val="Hipercze"/>
            <w:rFonts w:ascii="Calibri" w:eastAsia="Franklin Gothic Book" w:hAnsi="Calibri" w:cs="Calibri"/>
            <w:position w:val="9"/>
            <w:sz w:val="22"/>
            <w:szCs w:val="20"/>
            <w:lang w:eastAsia="ja-JP" w:bidi="ar-SA"/>
          </w:rPr>
          <w:t>www.zdrowemiasta.pl</w:t>
        </w:r>
      </w:hyperlink>
    </w:p>
    <w:p w14:paraId="6EE4BC61" w14:textId="77777777" w:rsidR="00FF28B9" w:rsidRDefault="00FF28B9">
      <w:pPr>
        <w:widowControl/>
        <w:autoSpaceDE w:val="0"/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581BB7D8" w14:textId="77777777" w:rsidR="00FF28B9" w:rsidRDefault="00FF28B9">
      <w:pPr>
        <w:rPr>
          <w:rFonts w:ascii="Calibri" w:eastAsia="Franklin Gothic Book" w:hAnsi="Calibri" w:cs="Calibri"/>
          <w:b/>
          <w:bCs/>
          <w:color w:val="595959"/>
          <w:position w:val="8"/>
          <w:sz w:val="16"/>
          <w:szCs w:val="16"/>
          <w:lang w:eastAsia="ja-JP" w:bidi="ar-SA"/>
        </w:rPr>
      </w:pPr>
    </w:p>
    <w:p w14:paraId="3A68C059" w14:textId="77777777" w:rsidR="00FF28B9" w:rsidRDefault="00000000">
      <w:pPr>
        <w:rPr>
          <w:rFonts w:ascii="Calibri" w:eastAsia="Franklin Gothic Book" w:hAnsi="Calibri" w:cs="Calibri"/>
          <w:b/>
          <w:bCs/>
          <w:color w:val="595959"/>
          <w:position w:val="8"/>
          <w:sz w:val="16"/>
          <w:szCs w:val="16"/>
          <w:lang w:eastAsia="ja-JP" w:bidi="ar-SA"/>
        </w:rPr>
      </w:pPr>
      <w:r>
        <w:rPr>
          <w:rFonts w:ascii="Calibri" w:eastAsia="Franklin Gothic Book" w:hAnsi="Calibri" w:cs="Calibri"/>
          <w:b/>
          <w:bCs/>
          <w:color w:val="595959"/>
          <w:position w:val="8"/>
          <w:sz w:val="16"/>
          <w:szCs w:val="16"/>
          <w:lang w:eastAsia="ja-JP" w:bidi="ar-SA"/>
        </w:rPr>
        <w:t>Więcej o Grupie LUX MED:</w:t>
      </w:r>
    </w:p>
    <w:p w14:paraId="5FA7D8DE" w14:textId="77777777" w:rsidR="00FF28B9" w:rsidRDefault="00FF28B9">
      <w:pPr>
        <w:jc w:val="both"/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</w:p>
    <w:p w14:paraId="10D07099" w14:textId="77777777" w:rsidR="00F02B23" w:rsidRPr="00F02B23" w:rsidRDefault="00F02B23" w:rsidP="00F02B23">
      <w:pPr>
        <w:jc w:val="both"/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  <w:r w:rsidRPr="00F02B23"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Grupa LUX MED jest liderem rynku prywatnych usług zdrowotnych w Polsce i częścią </w:t>
      </w:r>
      <w:proofErr w:type="spellStart"/>
      <w:r w:rsidRPr="00F02B23"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Bupa</w:t>
      </w:r>
      <w:proofErr w:type="spellEnd"/>
      <w:r w:rsidRPr="00F02B23"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, która działa, jako ubezpieczyciel i świadczeniodawca usług medycznych na całym świecie. Firma świadczy swoje usługi w Polsce od ponad 30 lat. Grupa LUX MED zapewnia pełną opiekę: ambulatoryjną, diagnostyczną, rehabilitacyjną, stomatologiczną, psychologiczną, szpitalną i długoterminową dla ponad 3 000 000 pacjentów. Do ich dyspozycji jest ponad 300 ogólnodostępnych i przyzakładowych centrów medycznych, 16 szpitali oraz ok. 3 000 poradni partnerskich. Grupa LUX MED zatrudnia ponad 24 000 osób, w tym około 10 000 lekarzy i 6 000 wspierającego personelu medycznego, a w codziennej działalności, kieruje się zasadami zrównoważonego rozwoju, podejmując liczne inicjatywy z obszarów zaangażowania społecznego i środowiska. Grupa LUX MED jest Głównym Partnerem Medycznym Polskiego Komitetu Olimpijskiego i Głównym Partnerem Medycznym Polskiego Komitetu Paraolimpijskiego.</w:t>
      </w:r>
    </w:p>
    <w:p w14:paraId="0249F76E" w14:textId="77777777" w:rsidR="00FF28B9" w:rsidRDefault="00FF28B9">
      <w:pP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</w:p>
    <w:p w14:paraId="6AA5DD66" w14:textId="77777777" w:rsidR="00FF28B9" w:rsidRDefault="00000000"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Więcej informacji: </w:t>
      </w:r>
      <w:hyperlink r:id="rId11" w:tgtFrame="_top">
        <w:r>
          <w:rPr>
            <w:rStyle w:val="Hipercze"/>
            <w:rFonts w:ascii="Calibri" w:eastAsia="Franklin Gothic Book" w:hAnsi="Calibri" w:cs="Calibri"/>
            <w:color w:val="595959"/>
            <w:position w:val="8"/>
            <w:sz w:val="16"/>
            <w:szCs w:val="16"/>
            <w:lang w:eastAsia="ja-JP" w:bidi="ar-SA"/>
          </w:rPr>
          <w:t>www.luxmed.pl</w:t>
        </w:r>
      </w:hyperlink>
    </w:p>
    <w:p w14:paraId="782B72DC" w14:textId="77777777" w:rsidR="00FF28B9" w:rsidRDefault="00FF28B9">
      <w:pP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</w:p>
    <w:p w14:paraId="35E26CD7" w14:textId="77777777" w:rsidR="00FF28B9" w:rsidRDefault="00000000">
      <w:r>
        <w:rPr>
          <w:rFonts w:ascii="Calibri" w:eastAsia="Franklin Gothic Book" w:hAnsi="Calibri" w:cs="Calibri"/>
          <w:b/>
          <w:bCs/>
          <w:color w:val="595959"/>
          <w:position w:val="8"/>
          <w:sz w:val="16"/>
          <w:szCs w:val="16"/>
          <w:lang w:eastAsia="ja-JP" w:bidi="ar-SA"/>
        </w:rPr>
        <w:t>Więcej o Szkole Głównej Handlowej w Warszawie</w:t>
      </w:r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:</w:t>
      </w:r>
    </w:p>
    <w:p w14:paraId="4A7644F4" w14:textId="77777777" w:rsidR="00FF28B9" w:rsidRDefault="00FF28B9">
      <w:pP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</w:p>
    <w:p w14:paraId="36401E1B" w14:textId="77777777" w:rsidR="00FF28B9" w:rsidRDefault="00000000">
      <w:pPr>
        <w:jc w:val="both"/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Szkoła Główna Handlowa w Warszawie to innowacyjna uczelnia ekonomiczna kształcąca liderów życia gospodarczego i społecznego. Naukowcy SGH zgłębiają kluczowe dla współczesnego świata zagadnienia w taki sposób, aby zdobyć na ich temat wiedzę, z której da się wyprowadzić trafne wnioski i zaprojektować efektywne działania. Uczelnia jest znaczącym ośrodkiem badań naukowych, nowych idei i inicjatyw, kreowanych przez wspólnotę akademicką, absolwentów, a także przedstawicieli biznesu, organizacji społecznych i administracji publicznej. Realizuje badania i opracowuje ekspertyzy na zamówienia przedsiębiorstw, instytucji publicznych i jednostek samorządu terytorialnego. Jednym z elementów tej współpracy jest wzmacnianie potencjału SGH i wspólne dążenie do umacniania jej pozycji jako wiodącej uczelni ekonomiczno-biznesowej. SGH, niezależna i wrażliwa społecznie, rozwija obywatelskie oraz etyczne postawy poprzez swoją działalność dydaktyczną, badawczą i opiniotwórczą. Jej celem jest też kształcenie przyszłych liderów. Łącząc praktyczne doświadczenie z teorią, SGH zachęca swoich partnerów biznesowych do pokazywania studentom i studentkom, jak właściwie wykorzystać zdobytą wiedzę i umiejętności, aby przekuć je w sukces. Uczelnia oferuje studia licencjackie, magisterskie, doktoranckie, podyplomowe oraz MBA w języku angielskim.</w:t>
      </w:r>
    </w:p>
    <w:p w14:paraId="54CFC700" w14:textId="77777777" w:rsidR="00FF28B9" w:rsidRDefault="00FF28B9">
      <w:pP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</w:p>
    <w:p w14:paraId="421238FF" w14:textId="77777777" w:rsidR="00FF28B9" w:rsidRDefault="00000000"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Więcej informacji: </w:t>
      </w:r>
      <w:hyperlink r:id="rId12" w:tgtFrame="_top">
        <w:r>
          <w:rPr>
            <w:rStyle w:val="Hipercze"/>
            <w:rFonts w:ascii="Calibri" w:eastAsia="Franklin Gothic Book" w:hAnsi="Calibri" w:cs="Calibri"/>
            <w:color w:val="595959"/>
            <w:position w:val="8"/>
            <w:sz w:val="16"/>
            <w:szCs w:val="16"/>
            <w:lang w:eastAsia="ja-JP" w:bidi="ar-SA"/>
          </w:rPr>
          <w:t>www.sgh.waw.pl</w:t>
        </w:r>
      </w:hyperlink>
    </w:p>
    <w:p w14:paraId="50215AFD" w14:textId="77777777" w:rsidR="00FF28B9" w:rsidRDefault="00FF28B9">
      <w:pPr>
        <w:rPr>
          <w:rFonts w:ascii="Calibri" w:eastAsia="Franklin Gothic Book" w:hAnsi="Calibri" w:cs="Calibri"/>
          <w:b/>
          <w:bCs/>
          <w:color w:val="595959"/>
          <w:position w:val="8"/>
          <w:sz w:val="16"/>
          <w:szCs w:val="16"/>
          <w:lang w:eastAsia="ja-JP" w:bidi="ar-SA"/>
        </w:rPr>
      </w:pPr>
    </w:p>
    <w:p w14:paraId="2AAC7946" w14:textId="77777777" w:rsidR="00FF28B9" w:rsidRDefault="00000000">
      <w:pPr>
        <w:rPr>
          <w:rFonts w:ascii="Calibri" w:eastAsia="Franklin Gothic Book" w:hAnsi="Calibri" w:cs="Calibri"/>
          <w:b/>
          <w:bCs/>
          <w:color w:val="595959"/>
          <w:position w:val="8"/>
          <w:sz w:val="16"/>
          <w:szCs w:val="16"/>
          <w:lang w:eastAsia="ja-JP" w:bidi="ar-SA"/>
        </w:rPr>
      </w:pPr>
      <w:r>
        <w:rPr>
          <w:rFonts w:ascii="Calibri" w:eastAsia="Franklin Gothic Book" w:hAnsi="Calibri" w:cs="Calibri"/>
          <w:b/>
          <w:bCs/>
          <w:color w:val="595959"/>
          <w:position w:val="8"/>
          <w:sz w:val="16"/>
          <w:szCs w:val="16"/>
          <w:lang w:eastAsia="ja-JP" w:bidi="ar-SA"/>
        </w:rPr>
        <w:t>Więcej o Fundacji GAP:</w:t>
      </w:r>
    </w:p>
    <w:p w14:paraId="35B53258" w14:textId="77777777" w:rsidR="00FF28B9" w:rsidRDefault="00FF28B9">
      <w:pPr>
        <w:jc w:val="both"/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</w:p>
    <w:p w14:paraId="0359317D" w14:textId="77777777" w:rsidR="00FF28B9" w:rsidRDefault="00000000">
      <w:pPr>
        <w:jc w:val="both"/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Fundacja Gospodarki i Administracji Publicznej jest jedną z najdynamiczniej rozwijających się organizacji pozarządowych w Małopolsce. Została powołana w 2005 roku przez grono pracowników Uniwersytetu Ekonomicznego w Krakowie. Fundacji przyświeca misja rozwijania ekonomii wartości oraz upowszechnianie rozwiązań na niej bazujących w działaniach i debacie publicznej. Misja ta realizowana jest w szczególności poprzez tworzenie ośrodka analiz – </w:t>
      </w:r>
      <w:proofErr w:type="spellStart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think</w:t>
      </w:r>
      <w:proofErr w:type="spellEnd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 tanku OEES HUB, organizację wydarzeń kreujących rozwiązania odpowiedzialnego rozwoju a także prowadzone doradztwo rozwojowe dla MŚP i </w:t>
      </w:r>
      <w:proofErr w:type="spellStart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NGOsów</w:t>
      </w:r>
      <w:proofErr w:type="spellEnd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. Fundacja GAP jest inicjatorem i organizatorem Kongresu Open </w:t>
      </w:r>
      <w:proofErr w:type="spellStart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Eyes</w:t>
      </w:r>
      <w:proofErr w:type="spellEnd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 </w:t>
      </w:r>
      <w:proofErr w:type="spellStart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Economy</w:t>
      </w:r>
      <w:proofErr w:type="spellEnd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 </w:t>
      </w:r>
      <w:proofErr w:type="spellStart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Summit</w:t>
      </w:r>
      <w:proofErr w:type="spellEnd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, którego 7. edycja będzie mieć miejsce w dniach 22-23 listopada 2022 w Krakowie, a także: Kongresu Solidarni w Rozwoju w Gdańsku, Kongresu Regeneracja Miast w Łodzi oraz Kongresu Miasto-Woda-Jakość Życia we Wrocławiu, w ramach którego współtworzy i wydaje ranking oceniający rozwój miast w Polsce pod względem efektywności gospodarowania zasobami wody – </w:t>
      </w:r>
      <w:proofErr w:type="spellStart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Water</w:t>
      </w:r>
      <w:proofErr w:type="spellEnd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 City Index.</w:t>
      </w:r>
    </w:p>
    <w:p w14:paraId="0FCC41E2" w14:textId="77777777" w:rsidR="00FF28B9" w:rsidRDefault="00000000">
      <w:pPr>
        <w:tabs>
          <w:tab w:val="left" w:pos="4253"/>
        </w:tabs>
        <w:spacing w:before="100"/>
      </w:pPr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Więcej informacji: </w:t>
      </w:r>
      <w:hyperlink r:id="rId13" w:tgtFrame="_top">
        <w:r>
          <w:rPr>
            <w:rStyle w:val="Hipercze"/>
            <w:rFonts w:ascii="Calibri" w:eastAsia="Franklin Gothic Book" w:hAnsi="Calibri" w:cs="Calibri"/>
            <w:color w:val="595959"/>
            <w:position w:val="8"/>
            <w:sz w:val="16"/>
            <w:szCs w:val="16"/>
            <w:lang w:eastAsia="ja-JP" w:bidi="ar-SA"/>
          </w:rPr>
          <w:t>www.fundacjagap.pl</w:t>
        </w:r>
      </w:hyperlink>
    </w:p>
    <w:p w14:paraId="2A083ACB" w14:textId="77777777" w:rsidR="00FF28B9" w:rsidRDefault="00000000">
      <w:pPr>
        <w:ind w:left="426" w:right="283" w:firstLine="28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</w:p>
    <w:p w14:paraId="18C4405C" w14:textId="77777777" w:rsidR="00FF28B9" w:rsidRDefault="00FF28B9">
      <w:pPr>
        <w:ind w:left="426" w:right="283"/>
        <w:jc w:val="both"/>
        <w:rPr>
          <w:rFonts w:ascii="Calibri" w:hAnsi="Calibri" w:cs="Calibri"/>
          <w:sz w:val="22"/>
          <w:szCs w:val="22"/>
        </w:rPr>
      </w:pPr>
    </w:p>
    <w:p w14:paraId="3BE5CF41" w14:textId="77777777" w:rsidR="00FF28B9" w:rsidRDefault="00FF28B9">
      <w:pPr>
        <w:rPr>
          <w:rFonts w:ascii="Calibri" w:hAnsi="Calibri" w:cs="Calibri"/>
          <w:color w:val="FF0000"/>
          <w:sz w:val="22"/>
          <w:szCs w:val="22"/>
        </w:rPr>
      </w:pPr>
    </w:p>
    <w:sectPr w:rsidR="00FF28B9">
      <w:headerReference w:type="default" r:id="rId14"/>
      <w:footerReference w:type="default" r:id="rId15"/>
      <w:pgSz w:w="11906" w:h="16838"/>
      <w:pgMar w:top="1417" w:right="1417" w:bottom="1417" w:left="1417" w:header="227" w:footer="57" w:gutter="0"/>
      <w:cols w:space="708"/>
      <w:formProt w:val="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DE847B" w14:textId="77777777" w:rsidR="006478BA" w:rsidRDefault="006478BA">
      <w:r>
        <w:separator/>
      </w:r>
    </w:p>
  </w:endnote>
  <w:endnote w:type="continuationSeparator" w:id="0">
    <w:p w14:paraId="3937913F" w14:textId="77777777" w:rsidR="006478BA" w:rsidRDefault="00647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Josefin Sans">
    <w:charset w:val="EE"/>
    <w:family w:val="auto"/>
    <w:pitch w:val="variable"/>
    <w:sig w:usb0="A00000FF" w:usb1="4000204B" w:usb2="00000000" w:usb3="00000000" w:csb0="0000019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ulish">
    <w:altName w:val="Calibri"/>
    <w:charset w:val="EE"/>
    <w:family w:val="auto"/>
    <w:pitch w:val="variable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963B3A" w14:textId="77777777" w:rsidR="00FF28B9" w:rsidRDefault="00FF28B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2FEEB7" w14:textId="77777777" w:rsidR="006478BA" w:rsidRDefault="006478BA">
      <w:r>
        <w:separator/>
      </w:r>
    </w:p>
  </w:footnote>
  <w:footnote w:type="continuationSeparator" w:id="0">
    <w:p w14:paraId="5C8B0916" w14:textId="77777777" w:rsidR="006478BA" w:rsidRDefault="006478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57B709" w14:textId="77777777" w:rsidR="00FF28B9" w:rsidRDefault="00FF28B9">
    <w:pPr>
      <w:pStyle w:val="Nagwek"/>
    </w:pPr>
  </w:p>
  <w:p w14:paraId="6615B6A6" w14:textId="77777777" w:rsidR="00FF28B9" w:rsidRDefault="00FF28B9">
    <w:pPr>
      <w:pStyle w:val="Nagwek"/>
    </w:pPr>
  </w:p>
  <w:p w14:paraId="6A0CEB19" w14:textId="77777777" w:rsidR="00FF28B9" w:rsidRDefault="00FF28B9">
    <w:pPr>
      <w:pStyle w:val="Nagwek"/>
    </w:pPr>
  </w:p>
  <w:p w14:paraId="0CA41466" w14:textId="77777777" w:rsidR="00FF28B9" w:rsidRDefault="00FF28B9">
    <w:pPr>
      <w:pStyle w:val="Nagwek"/>
    </w:pPr>
  </w:p>
  <w:p w14:paraId="0DAF3944" w14:textId="77777777" w:rsidR="00FF28B9" w:rsidRDefault="00FF28B9">
    <w:pPr>
      <w:pStyle w:val="Nagwek"/>
    </w:pPr>
  </w:p>
  <w:p w14:paraId="16349FA0" w14:textId="77777777" w:rsidR="00FF28B9" w:rsidRDefault="00FF28B9">
    <w:pPr>
      <w:pStyle w:val="Nagwek"/>
    </w:pPr>
  </w:p>
  <w:p w14:paraId="7BDC8042" w14:textId="77777777" w:rsidR="00FF28B9" w:rsidRDefault="00FF28B9">
    <w:pPr>
      <w:pStyle w:val="Nagwek"/>
    </w:pPr>
  </w:p>
  <w:p w14:paraId="55315A96" w14:textId="77777777" w:rsidR="00FF28B9" w:rsidRDefault="00000000">
    <w:pPr>
      <w:pStyle w:val="Nagwek"/>
      <w:tabs>
        <w:tab w:val="left" w:pos="5860"/>
      </w:tabs>
    </w:pPr>
    <w:r>
      <w:tab/>
    </w:r>
  </w:p>
  <w:p w14:paraId="616D1B02" w14:textId="77777777" w:rsidR="00FF28B9" w:rsidRDefault="00FF28B9">
    <w:pPr>
      <w:pStyle w:val="Nagwek"/>
    </w:pPr>
  </w:p>
  <w:p w14:paraId="31B218DC" w14:textId="77777777" w:rsidR="00FF28B9" w:rsidRDefault="00000000">
    <w:pPr>
      <w:pStyle w:val="Nagwek"/>
      <w:rPr>
        <w:sz w:val="22"/>
        <w:szCs w:val="22"/>
      </w:rPr>
    </w:pPr>
    <w:r>
      <w:rPr>
        <w:noProof/>
      </w:rPr>
      <w:drawing>
        <wp:anchor distT="0" distB="0" distL="0" distR="0" simplePos="0" relativeHeight="5" behindDoc="1" locked="0" layoutInCell="0" allowOverlap="1" wp14:anchorId="7D25E12C" wp14:editId="313C5C2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7140" cy="11089640"/>
          <wp:effectExtent l="0" t="0" r="0" b="0"/>
          <wp:wrapNone/>
          <wp:docPr id="2" name="Obraz 1590321400" descr="Obraz zawierający tekst, zrzut ekranu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590321400" descr="Obraz zawierający tekst, zrzut ekranu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11089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8B9"/>
    <w:rsid w:val="000F4CAD"/>
    <w:rsid w:val="002F65BD"/>
    <w:rsid w:val="00355772"/>
    <w:rsid w:val="00445F08"/>
    <w:rsid w:val="004F6995"/>
    <w:rsid w:val="00557CE0"/>
    <w:rsid w:val="006478BA"/>
    <w:rsid w:val="0082142B"/>
    <w:rsid w:val="009868D8"/>
    <w:rsid w:val="00A11358"/>
    <w:rsid w:val="00B948B2"/>
    <w:rsid w:val="00C349B6"/>
    <w:rsid w:val="00CA4818"/>
    <w:rsid w:val="00CF3F41"/>
    <w:rsid w:val="00F02B23"/>
    <w:rsid w:val="00FF2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C5765"/>
  <w15:docId w15:val="{AA405473-12B5-4BB6-9681-8FEA76A29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</w:pPr>
    <w:rPr>
      <w:rFonts w:ascii="Josefin Sans" w:eastAsia="Arial Unicode MS" w:hAnsi="Josefin Sans" w:cs="Arial Unicode MS"/>
      <w:kern w:val="2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qFormat/>
  </w:style>
  <w:style w:type="character" w:customStyle="1" w:styleId="NagwekZnak">
    <w:name w:val="Nagłówek Znak"/>
    <w:qFormat/>
    <w:rPr>
      <w:rFonts w:eastAsia="Arial Unicode MS" w:cs="Mangal"/>
      <w:kern w:val="2"/>
      <w:sz w:val="24"/>
      <w:szCs w:val="21"/>
      <w:lang w:eastAsia="hi-IN" w:bidi="hi-IN"/>
    </w:rPr>
  </w:style>
  <w:style w:type="character" w:customStyle="1" w:styleId="StopkaZnak">
    <w:name w:val="Stopka Znak"/>
    <w:qFormat/>
    <w:rPr>
      <w:rFonts w:eastAsia="Arial Unicode MS" w:cs="Mangal"/>
      <w:kern w:val="2"/>
      <w:sz w:val="24"/>
      <w:szCs w:val="21"/>
      <w:lang w:eastAsia="hi-IN" w:bidi="hi-IN"/>
    </w:rPr>
  </w:style>
  <w:style w:type="character" w:styleId="Hipercze">
    <w:name w:val="Hyperlink"/>
    <w:rPr>
      <w:color w:val="000080"/>
      <w:u w:val="single"/>
    </w:rPr>
  </w:style>
  <w:style w:type="character" w:customStyle="1" w:styleId="TekstprzypisukocowegoZnak">
    <w:name w:val="Tekst przypisu końcowego Znak"/>
    <w:basedOn w:val="Domylnaczcionkaakapitu"/>
    <w:qFormat/>
    <w:rPr>
      <w:rFonts w:ascii="Josefin Sans" w:eastAsia="Arial Unicode MS" w:hAnsi="Josefin Sans" w:cs="Mangal"/>
      <w:kern w:val="2"/>
      <w:szCs w:val="18"/>
      <w:lang w:eastAsia="hi-IN" w:bidi="hi-IN"/>
    </w:rPr>
  </w:style>
  <w:style w:type="character" w:styleId="Odwoanieprzypisukocowego">
    <w:name w:val="endnote reference"/>
    <w:basedOn w:val="Domylnaczcionkaakapitu"/>
    <w:rPr>
      <w:vertAlign w:val="superscript"/>
    </w:rPr>
  </w:style>
  <w:style w:type="character" w:styleId="Nierozpoznanawzmianka">
    <w:name w:val="Unresolved Mention"/>
    <w:basedOn w:val="Domylnaczcionkaakapitu"/>
    <w:qFormat/>
    <w:rPr>
      <w:color w:val="605E5C"/>
      <w:shd w:val="clear" w:color="auto" w:fill="E1DFDD"/>
    </w:rPr>
  </w:style>
  <w:style w:type="character" w:customStyle="1" w:styleId="WWCharLFO1LVL1">
    <w:name w:val="WW_CharLFO1LVL1"/>
    <w:qFormat/>
    <w:rPr>
      <w:rFonts w:ascii="Symbol" w:hAnsi="Symbol"/>
    </w:rPr>
  </w:style>
  <w:style w:type="character" w:customStyle="1" w:styleId="WWCharLFO1LVL2">
    <w:name w:val="WW_CharLFO1LVL2"/>
    <w:qFormat/>
    <w:rPr>
      <w:rFonts w:ascii="Courier New" w:hAnsi="Courier New" w:cs="Courier New"/>
    </w:rPr>
  </w:style>
  <w:style w:type="character" w:customStyle="1" w:styleId="WWCharLFO1LVL3">
    <w:name w:val="WW_CharLFO1LVL3"/>
    <w:qFormat/>
    <w:rPr>
      <w:rFonts w:ascii="Wingdings" w:hAnsi="Wingdings"/>
    </w:rPr>
  </w:style>
  <w:style w:type="character" w:customStyle="1" w:styleId="WWCharLFO1LVL4">
    <w:name w:val="WW_CharLFO1LVL4"/>
    <w:qFormat/>
    <w:rPr>
      <w:rFonts w:ascii="Symbol" w:hAnsi="Symbol"/>
    </w:rPr>
  </w:style>
  <w:style w:type="character" w:customStyle="1" w:styleId="WWCharLFO1LVL5">
    <w:name w:val="WW_CharLFO1LVL5"/>
    <w:qFormat/>
    <w:rPr>
      <w:rFonts w:ascii="Courier New" w:hAnsi="Courier New" w:cs="Courier New"/>
    </w:rPr>
  </w:style>
  <w:style w:type="character" w:customStyle="1" w:styleId="WWCharLFO1LVL6">
    <w:name w:val="WW_CharLFO1LVL6"/>
    <w:qFormat/>
    <w:rPr>
      <w:rFonts w:ascii="Wingdings" w:hAnsi="Wingdings"/>
    </w:rPr>
  </w:style>
  <w:style w:type="character" w:customStyle="1" w:styleId="WWCharLFO1LVL7">
    <w:name w:val="WW_CharLFO1LVL7"/>
    <w:qFormat/>
    <w:rPr>
      <w:rFonts w:ascii="Symbol" w:hAnsi="Symbol"/>
    </w:rPr>
  </w:style>
  <w:style w:type="character" w:customStyle="1" w:styleId="WWCharLFO1LVL8">
    <w:name w:val="WW_CharLFO1LVL8"/>
    <w:qFormat/>
    <w:rPr>
      <w:rFonts w:ascii="Courier New" w:hAnsi="Courier New" w:cs="Courier New"/>
    </w:rPr>
  </w:style>
  <w:style w:type="character" w:customStyle="1" w:styleId="WWCharLFO1LVL9">
    <w:name w:val="WW_CharLFO1LVL9"/>
    <w:qFormat/>
    <w:rPr>
      <w:rFonts w:ascii="Wingdings" w:hAnsi="Wingdings"/>
    </w:rPr>
  </w:style>
  <w:style w:type="character" w:customStyle="1" w:styleId="WWCharLFO2LVL1">
    <w:name w:val="WW_CharLFO2LVL1"/>
    <w:qFormat/>
    <w:rPr>
      <w:rFonts w:ascii="Symbol" w:hAnsi="Symbol"/>
    </w:rPr>
  </w:style>
  <w:style w:type="character" w:customStyle="1" w:styleId="WWCharLFO2LVL2">
    <w:name w:val="WW_CharLFO2LVL2"/>
    <w:qFormat/>
    <w:rPr>
      <w:rFonts w:ascii="Courier New" w:hAnsi="Courier New" w:cs="Courier New"/>
    </w:rPr>
  </w:style>
  <w:style w:type="character" w:customStyle="1" w:styleId="WWCharLFO2LVL3">
    <w:name w:val="WW_CharLFO2LVL3"/>
    <w:qFormat/>
    <w:rPr>
      <w:rFonts w:ascii="Wingdings" w:hAnsi="Wingdings"/>
    </w:rPr>
  </w:style>
  <w:style w:type="character" w:customStyle="1" w:styleId="WWCharLFO2LVL4">
    <w:name w:val="WW_CharLFO2LVL4"/>
    <w:qFormat/>
    <w:rPr>
      <w:rFonts w:ascii="Symbol" w:hAnsi="Symbol"/>
    </w:rPr>
  </w:style>
  <w:style w:type="character" w:customStyle="1" w:styleId="WWCharLFO2LVL5">
    <w:name w:val="WW_CharLFO2LVL5"/>
    <w:qFormat/>
    <w:rPr>
      <w:rFonts w:ascii="Courier New" w:hAnsi="Courier New" w:cs="Courier New"/>
    </w:rPr>
  </w:style>
  <w:style w:type="character" w:customStyle="1" w:styleId="WWCharLFO2LVL6">
    <w:name w:val="WW_CharLFO2LVL6"/>
    <w:qFormat/>
    <w:rPr>
      <w:rFonts w:ascii="Wingdings" w:hAnsi="Wingdings"/>
    </w:rPr>
  </w:style>
  <w:style w:type="character" w:customStyle="1" w:styleId="WWCharLFO2LVL7">
    <w:name w:val="WW_CharLFO2LVL7"/>
    <w:qFormat/>
    <w:rPr>
      <w:rFonts w:ascii="Symbol" w:hAnsi="Symbol"/>
    </w:rPr>
  </w:style>
  <w:style w:type="character" w:customStyle="1" w:styleId="WWCharLFO2LVL8">
    <w:name w:val="WW_CharLFO2LVL8"/>
    <w:qFormat/>
    <w:rPr>
      <w:rFonts w:ascii="Courier New" w:hAnsi="Courier New" w:cs="Courier New"/>
    </w:rPr>
  </w:style>
  <w:style w:type="character" w:customStyle="1" w:styleId="WWCharLFO2LVL9">
    <w:name w:val="WW_CharLFO2LVL9"/>
    <w:qFormat/>
    <w:rPr>
      <w:rFonts w:ascii="Wingdings" w:hAnsi="Wingdings"/>
    </w:rPr>
  </w:style>
  <w:style w:type="character" w:customStyle="1" w:styleId="Zakotwiczenieprzypisukocowego">
    <w:name w:val="Zakotwiczenie przypisu końcowego"/>
    <w:qFormat/>
    <w:rPr>
      <w:vertAlign w:val="superscript"/>
    </w:rPr>
  </w:style>
  <w:style w:type="character" w:customStyle="1" w:styleId="Znakiprzypiswkocowych">
    <w:name w:val="Znaki przypisów końcowych"/>
    <w:qFormat/>
  </w:style>
  <w:style w:type="paragraph" w:customStyle="1" w:styleId="Nagwek2">
    <w:name w:val="Nagłówek2"/>
    <w:basedOn w:val="Normalny"/>
    <w:next w:val="Tekstpodstawowy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customStyle="1" w:styleId="Podpis2">
    <w:name w:val="Podpis2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paragraph" w:customStyle="1" w:styleId="Nagwek1">
    <w:name w:val="Nagłówek1"/>
    <w:basedOn w:val="Normalny"/>
    <w:next w:val="Tekstpodstawowy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Podpis1">
    <w:name w:val="Podpis1"/>
    <w:basedOn w:val="Normalny"/>
    <w:qFormat/>
    <w:pPr>
      <w:suppressLineNumbers/>
      <w:spacing w:before="120" w:after="120"/>
    </w:pPr>
    <w:rPr>
      <w:i/>
      <w:iCs/>
    </w:rPr>
  </w:style>
  <w:style w:type="paragraph" w:styleId="Nagwek">
    <w:name w:val="header"/>
    <w:basedOn w:val="Gwkaistopka"/>
  </w:style>
  <w:style w:type="paragraph" w:customStyle="1" w:styleId="Gwkaistopka">
    <w:name w:val="Główka i stopka"/>
    <w:basedOn w:val="Normalny"/>
    <w:qFormat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Default">
    <w:name w:val="Default"/>
    <w:qFormat/>
    <w:pPr>
      <w:suppressAutoHyphens/>
      <w:autoSpaceDE w:val="0"/>
    </w:pPr>
    <w:rPr>
      <w:rFonts w:ascii="Calibri" w:hAnsi="Calibri" w:cs="Calibri"/>
      <w:color w:val="000000"/>
      <w:sz w:val="24"/>
      <w:szCs w:val="24"/>
    </w:rPr>
  </w:style>
  <w:style w:type="paragraph" w:styleId="Bezodstpw">
    <w:name w:val="No Spacing"/>
    <w:autoRedefine/>
    <w:qFormat/>
    <w:pPr>
      <w:suppressAutoHyphens/>
      <w:ind w:right="720"/>
      <w:jc w:val="right"/>
    </w:pPr>
    <w:rPr>
      <w:rFonts w:ascii="Mulish" w:eastAsia="Franklin Gothic Book" w:hAnsi="Mulish"/>
      <w:color w:val="595959"/>
      <w:kern w:val="2"/>
      <w:sz w:val="22"/>
      <w:vertAlign w:val="superscript"/>
      <w:lang w:eastAsia="ja-JP"/>
    </w:rPr>
  </w:style>
  <w:style w:type="paragraph" w:styleId="Akapitzlist">
    <w:name w:val="List Paragraph"/>
    <w:basedOn w:val="Normalny"/>
    <w:qFormat/>
    <w:pPr>
      <w:widowControl/>
      <w:spacing w:before="160" w:after="480" w:line="360" w:lineRule="auto"/>
      <w:ind w:right="720"/>
      <w:contextualSpacing/>
    </w:pPr>
    <w:rPr>
      <w:rFonts w:ascii="Calibri" w:eastAsia="SimSun" w:hAnsi="Calibri" w:cs="Franklin Gothic Book"/>
      <w:b/>
      <w:bCs/>
      <w:color w:val="000000"/>
      <w:kern w:val="0"/>
      <w:lang w:eastAsia="pl-PL" w:bidi="ar-SA"/>
    </w:rPr>
  </w:style>
  <w:style w:type="paragraph" w:styleId="Poprawka">
    <w:name w:val="Revision"/>
    <w:qFormat/>
    <w:pPr>
      <w:suppressAutoHyphens/>
    </w:pPr>
    <w:rPr>
      <w:rFonts w:ascii="Josefin Sans" w:eastAsia="Arial Unicode MS" w:hAnsi="Josefin Sans" w:cs="Mangal"/>
      <w:kern w:val="2"/>
      <w:sz w:val="24"/>
      <w:szCs w:val="21"/>
      <w:lang w:eastAsia="hi-IN" w:bidi="hi-IN"/>
    </w:rPr>
  </w:style>
  <w:style w:type="paragraph" w:styleId="Tekstprzypisukocowego">
    <w:name w:val="endnote text"/>
    <w:basedOn w:val="Normalny"/>
    <w:qFormat/>
    <w:rPr>
      <w:rFonts w:cs="Mangal"/>
      <w:sz w:val="20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13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11358"/>
    <w:rPr>
      <w:rFonts w:cs="Mangal"/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11358"/>
    <w:rPr>
      <w:rFonts w:ascii="Josefin Sans" w:eastAsia="Arial Unicode MS" w:hAnsi="Josefin Sans" w:cs="Mangal"/>
      <w:kern w:val="2"/>
      <w:szCs w:val="18"/>
      <w:lang w:eastAsia="hi-I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13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1358"/>
    <w:rPr>
      <w:rFonts w:ascii="Josefin Sans" w:eastAsia="Arial Unicode MS" w:hAnsi="Josefin Sans" w:cs="Mangal"/>
      <w:b/>
      <w:bCs/>
      <w:kern w:val="2"/>
      <w:szCs w:val="18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30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drowemiasta.pl" TargetMode="External"/><Relationship Id="rId13" Type="http://schemas.openxmlformats.org/officeDocument/2006/relationships/hyperlink" Target="http://www.fundacjagap.pl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sgh.waw.pl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luxmed.pl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zdrowemiasta.p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zdrowemiasta.pl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89006-804B-4E6A-AD8B-E7F2A2F5A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1431</Words>
  <Characters>8591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Irek Lipko</dc:creator>
  <dc:description/>
  <cp:lastModifiedBy>Galant Magdalena</cp:lastModifiedBy>
  <cp:revision>6</cp:revision>
  <cp:lastPrinted>2024-06-04T13:26:00Z</cp:lastPrinted>
  <dcterms:created xsi:type="dcterms:W3CDTF">2024-08-29T11:15:00Z</dcterms:created>
  <dcterms:modified xsi:type="dcterms:W3CDTF">2024-08-29T13:09:00Z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0x01010024F0BC9BBE39E24D9D175BE6CB55ECA5</vt:lpwstr>
  </property>
</Properties>
</file>